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1"/>
        <w:gridCol w:w="4956"/>
        <w:gridCol w:w="1977"/>
      </w:tblGrid>
      <w:tr w:rsidR="001D5CCC" w:rsidRPr="00583771" w14:paraId="601CAF46" w14:textId="77777777" w:rsidTr="00641161">
        <w:trPr>
          <w:trHeight w:val="1107"/>
        </w:trPr>
        <w:tc>
          <w:tcPr>
            <w:tcW w:w="2121" w:type="dxa"/>
          </w:tcPr>
          <w:p w14:paraId="1E731F84" w14:textId="77777777" w:rsidR="001D5CCC" w:rsidRPr="00096DDC" w:rsidRDefault="001D5CCC" w:rsidP="00641161">
            <w:pPr>
              <w:pStyle w:val="Documenteigenschappen"/>
            </w:pPr>
          </w:p>
          <w:p w14:paraId="418CD07D" w14:textId="77777777" w:rsidR="001D5CCC" w:rsidRPr="00096DDC" w:rsidRDefault="001D5CCC" w:rsidP="00641161">
            <w:pPr>
              <w:ind w:left="-113"/>
              <w:rPr>
                <w:szCs w:val="20"/>
              </w:rPr>
            </w:pPr>
          </w:p>
          <w:p w14:paraId="52271477" w14:textId="77777777" w:rsidR="001D5CCC" w:rsidRPr="00096DDC" w:rsidRDefault="001D5CCC" w:rsidP="00641161">
            <w:pPr>
              <w:ind w:left="-113"/>
              <w:rPr>
                <w:szCs w:val="20"/>
              </w:rPr>
            </w:pPr>
          </w:p>
          <w:p w14:paraId="4048F6E4" w14:textId="77777777" w:rsidR="001D5CCC" w:rsidRPr="00096DDC" w:rsidRDefault="001D5CCC" w:rsidP="00641161">
            <w:pPr>
              <w:ind w:left="-113"/>
              <w:rPr>
                <w:szCs w:val="20"/>
              </w:rPr>
            </w:pPr>
          </w:p>
        </w:tc>
        <w:tc>
          <w:tcPr>
            <w:tcW w:w="4956" w:type="dxa"/>
          </w:tcPr>
          <w:p w14:paraId="4A34649D" w14:textId="77777777" w:rsidR="001D5CCC" w:rsidRDefault="001D5CCC" w:rsidP="00641161">
            <w:pPr>
              <w:rPr>
                <w:rFonts w:asciiTheme="majorHAnsi" w:hAnsiTheme="majorHAnsi" w:cstheme="majorHAnsi"/>
              </w:rPr>
            </w:pPr>
          </w:p>
          <w:p w14:paraId="5704C86E" w14:textId="77777777" w:rsidR="001D5CCC" w:rsidRPr="00096DDC" w:rsidRDefault="001D5CCC" w:rsidP="00641161">
            <w:pPr>
              <w:rPr>
                <w:szCs w:val="20"/>
              </w:rPr>
            </w:pPr>
          </w:p>
          <w:p w14:paraId="6D8A054A" w14:textId="77777777" w:rsidR="001D5CCC" w:rsidRPr="00096DDC" w:rsidRDefault="001D5CCC" w:rsidP="00641161">
            <w:pPr>
              <w:ind w:left="-113"/>
              <w:rPr>
                <w:szCs w:val="20"/>
              </w:rPr>
            </w:pPr>
          </w:p>
          <w:p w14:paraId="62F9E636" w14:textId="77777777" w:rsidR="001D5CCC" w:rsidRPr="00096DDC" w:rsidRDefault="001D5CCC" w:rsidP="00641161">
            <w:pPr>
              <w:widowControl w:val="0"/>
              <w:autoSpaceDE w:val="0"/>
              <w:autoSpaceDN w:val="0"/>
              <w:adjustRightInd w:val="0"/>
              <w:ind w:left="-113"/>
              <w:textAlignment w:val="center"/>
              <w:rPr>
                <w:rFonts w:cs="Calibri Light"/>
                <w:szCs w:val="20"/>
              </w:rPr>
            </w:pPr>
          </w:p>
          <w:p w14:paraId="2801890C" w14:textId="77777777" w:rsidR="001D5CCC" w:rsidRPr="00A12267" w:rsidRDefault="001D5CCC" w:rsidP="00641161">
            <w:pPr>
              <w:widowControl w:val="0"/>
              <w:autoSpaceDE w:val="0"/>
              <w:autoSpaceDN w:val="0"/>
              <w:adjustRightInd w:val="0"/>
              <w:ind w:left="-113"/>
              <w:textAlignment w:val="center"/>
              <w:rPr>
                <w:rFonts w:cs="Calibri Light"/>
                <w:color w:val="E36729"/>
                <w:sz w:val="36"/>
                <w:szCs w:val="36"/>
              </w:rPr>
            </w:pPr>
          </w:p>
        </w:tc>
        <w:tc>
          <w:tcPr>
            <w:tcW w:w="1977" w:type="dxa"/>
            <w:vMerge w:val="restart"/>
          </w:tcPr>
          <w:p w14:paraId="5DF36C9F" w14:textId="77777777" w:rsidR="00E17465" w:rsidRPr="00440FA3" w:rsidRDefault="00E17465" w:rsidP="00E17465">
            <w:pPr>
              <w:rPr>
                <w:rFonts w:ascii="Cambria" w:hAnsi="Cambria"/>
                <w:color w:val="5E6160"/>
                <w:sz w:val="18"/>
                <w:szCs w:val="18"/>
                <w:lang w:val="en-GB"/>
              </w:rPr>
            </w:pPr>
            <w:r>
              <w:rPr>
                <w:rFonts w:ascii="Cambria" w:hAnsi="Cambria"/>
                <w:color w:val="5E6160"/>
                <w:sz w:val="18"/>
                <w:szCs w:val="18"/>
                <w:lang w:val="en-GB"/>
              </w:rPr>
              <w:t>Fakton Energy B.V.</w:t>
            </w:r>
          </w:p>
          <w:p w14:paraId="5E9AF2BE" w14:textId="77777777" w:rsidR="00E17465" w:rsidRPr="00440FA3" w:rsidRDefault="00E17465" w:rsidP="00E17465">
            <w:pPr>
              <w:rPr>
                <w:rFonts w:ascii="Cambria" w:hAnsi="Cambria"/>
                <w:color w:val="5E6160"/>
                <w:sz w:val="18"/>
                <w:szCs w:val="18"/>
                <w:lang w:val="en-GB"/>
              </w:rPr>
            </w:pPr>
            <w:r>
              <w:rPr>
                <w:rFonts w:ascii="Cambria" w:hAnsi="Cambria"/>
                <w:color w:val="5E6160"/>
                <w:sz w:val="18"/>
                <w:szCs w:val="18"/>
                <w:lang w:val="en-GB"/>
              </w:rPr>
              <w:t>World Trade Center</w:t>
            </w:r>
          </w:p>
          <w:p w14:paraId="795F3AD6" w14:textId="77777777" w:rsidR="00E17465" w:rsidRPr="00440FA3" w:rsidRDefault="00E17465" w:rsidP="00E17465">
            <w:pPr>
              <w:rPr>
                <w:rFonts w:ascii="Cambria" w:hAnsi="Cambria"/>
                <w:color w:val="5E6160"/>
                <w:sz w:val="18"/>
                <w:szCs w:val="18"/>
                <w:lang w:val="nl-NL"/>
              </w:rPr>
            </w:pPr>
            <w:r>
              <w:rPr>
                <w:rFonts w:ascii="Cambria" w:hAnsi="Cambria"/>
                <w:color w:val="5E6160"/>
                <w:sz w:val="18"/>
                <w:szCs w:val="18"/>
                <w:lang w:val="nl-NL"/>
              </w:rPr>
              <w:t>22ste etage</w:t>
            </w:r>
          </w:p>
          <w:p w14:paraId="55611F73" w14:textId="77777777" w:rsidR="00E17465" w:rsidRPr="00440FA3" w:rsidRDefault="00E17465" w:rsidP="00E17465">
            <w:pPr>
              <w:rPr>
                <w:rFonts w:ascii="Cambria" w:hAnsi="Cambria"/>
                <w:color w:val="5E6160"/>
                <w:sz w:val="18"/>
                <w:szCs w:val="18"/>
                <w:lang w:val="nl-NL"/>
              </w:rPr>
            </w:pPr>
            <w:r>
              <w:rPr>
                <w:rFonts w:ascii="Cambria" w:hAnsi="Cambria"/>
                <w:color w:val="5E6160"/>
                <w:sz w:val="18"/>
                <w:szCs w:val="18"/>
                <w:lang w:val="nl-NL"/>
              </w:rPr>
              <w:t>Beursplein 37</w:t>
            </w:r>
          </w:p>
          <w:p w14:paraId="0A00546D" w14:textId="77777777" w:rsidR="00E17465" w:rsidRPr="00440FA3" w:rsidRDefault="00E17465" w:rsidP="00E17465">
            <w:pPr>
              <w:rPr>
                <w:rFonts w:ascii="Cambria" w:hAnsi="Cambria"/>
                <w:color w:val="5E6160"/>
                <w:sz w:val="18"/>
                <w:szCs w:val="18"/>
                <w:lang w:val="nl-NL"/>
              </w:rPr>
            </w:pPr>
            <w:r>
              <w:rPr>
                <w:rFonts w:ascii="Cambria" w:hAnsi="Cambria"/>
                <w:color w:val="5E6160"/>
                <w:sz w:val="18"/>
                <w:szCs w:val="18"/>
                <w:lang w:val="nl-NL"/>
              </w:rPr>
              <w:t>3011 AA Rotterdam</w:t>
            </w:r>
          </w:p>
          <w:p w14:paraId="49B37E50" w14:textId="77777777" w:rsidR="00E17465" w:rsidRPr="00440FA3" w:rsidRDefault="00E17465" w:rsidP="00E17465">
            <w:pPr>
              <w:rPr>
                <w:rFonts w:ascii="Cambria" w:hAnsi="Cambria"/>
                <w:color w:val="5E6160"/>
                <w:sz w:val="18"/>
                <w:szCs w:val="18"/>
                <w:lang w:val="nl-NL"/>
              </w:rPr>
            </w:pPr>
          </w:p>
          <w:p w14:paraId="06019D0E" w14:textId="77777777" w:rsidR="00E17465" w:rsidRPr="00440FA3" w:rsidRDefault="00E17465" w:rsidP="00E17465">
            <w:pPr>
              <w:rPr>
                <w:rFonts w:ascii="Cambria" w:hAnsi="Cambria"/>
                <w:color w:val="5E6160"/>
                <w:sz w:val="18"/>
                <w:szCs w:val="18"/>
                <w:lang w:val="nl-NL"/>
              </w:rPr>
            </w:pPr>
            <w:r>
              <w:rPr>
                <w:rFonts w:ascii="Cambria" w:hAnsi="Cambria"/>
                <w:color w:val="5E6160"/>
                <w:sz w:val="18"/>
                <w:szCs w:val="18"/>
                <w:lang w:val="nl-NL"/>
              </w:rPr>
              <w:t>Postbus 30188</w:t>
            </w:r>
          </w:p>
          <w:p w14:paraId="06F2DB56" w14:textId="77777777" w:rsidR="00E17465" w:rsidRPr="00440FA3" w:rsidRDefault="00E17465" w:rsidP="00E17465">
            <w:pPr>
              <w:rPr>
                <w:rFonts w:ascii="Cambria" w:hAnsi="Cambria"/>
                <w:color w:val="5E6160"/>
                <w:sz w:val="18"/>
                <w:szCs w:val="18"/>
                <w:lang w:val="nl-NL"/>
              </w:rPr>
            </w:pPr>
            <w:r>
              <w:rPr>
                <w:rFonts w:ascii="Cambria" w:hAnsi="Cambria"/>
                <w:color w:val="5E6160"/>
                <w:sz w:val="18"/>
                <w:szCs w:val="18"/>
                <w:lang w:val="nl-NL"/>
              </w:rPr>
              <w:t>3001 DD Rotterdam</w:t>
            </w:r>
          </w:p>
          <w:p w14:paraId="2DD51D07" w14:textId="77777777" w:rsidR="00E17465" w:rsidRPr="00440FA3" w:rsidRDefault="00E17465" w:rsidP="00E17465">
            <w:pPr>
              <w:rPr>
                <w:rFonts w:ascii="Cambria" w:hAnsi="Cambria"/>
                <w:color w:val="5E6160"/>
                <w:sz w:val="18"/>
                <w:szCs w:val="18"/>
                <w:lang w:val="nl-NL"/>
              </w:rPr>
            </w:pPr>
          </w:p>
          <w:p w14:paraId="63C76484" w14:textId="77777777" w:rsidR="00E17465" w:rsidRPr="00440FA3" w:rsidRDefault="00E17465" w:rsidP="00E17465">
            <w:pPr>
              <w:rPr>
                <w:rFonts w:ascii="Cambria" w:hAnsi="Cambria"/>
                <w:color w:val="5E6160"/>
                <w:sz w:val="18"/>
                <w:szCs w:val="18"/>
                <w:lang w:val="nl-NL"/>
              </w:rPr>
            </w:pPr>
            <w:r>
              <w:rPr>
                <w:rFonts w:ascii="Cambria" w:hAnsi="Cambria"/>
                <w:color w:val="5E6160"/>
                <w:sz w:val="18"/>
                <w:szCs w:val="18"/>
                <w:lang w:val="nl-NL"/>
              </w:rPr>
              <w:t>+31 10 300 6000</w:t>
            </w:r>
          </w:p>
          <w:p w14:paraId="73680706" w14:textId="77777777" w:rsidR="00E17465" w:rsidRPr="00440FA3" w:rsidRDefault="00E17465" w:rsidP="00E17465">
            <w:pPr>
              <w:rPr>
                <w:rFonts w:ascii="Cambria" w:hAnsi="Cambria"/>
                <w:color w:val="5E6160"/>
                <w:sz w:val="18"/>
                <w:szCs w:val="18"/>
                <w:lang w:val="nl-NL"/>
              </w:rPr>
            </w:pPr>
          </w:p>
          <w:p w14:paraId="78E260AB" w14:textId="77777777" w:rsidR="00E17465" w:rsidRPr="00440FA3" w:rsidRDefault="00E17465" w:rsidP="00E17465">
            <w:pPr>
              <w:rPr>
                <w:rFonts w:ascii="Cambria" w:hAnsi="Cambria"/>
                <w:color w:val="5E6160"/>
                <w:sz w:val="18"/>
                <w:szCs w:val="18"/>
                <w:lang w:val="nl-NL"/>
              </w:rPr>
            </w:pPr>
            <w:r>
              <w:rPr>
                <w:rFonts w:ascii="Cambria" w:hAnsi="Cambria"/>
                <w:color w:val="5E6160"/>
                <w:sz w:val="18"/>
                <w:szCs w:val="18"/>
                <w:lang w:val="nl-NL"/>
              </w:rPr>
              <w:t>info@fakton.com</w:t>
            </w:r>
          </w:p>
          <w:p w14:paraId="1FA38B1E" w14:textId="77777777" w:rsidR="001D5CCC" w:rsidRPr="00440FA3" w:rsidRDefault="00E17465" w:rsidP="00E17465">
            <w:pPr>
              <w:rPr>
                <w:rFonts w:cs="Calibri Light"/>
                <w:sz w:val="18"/>
                <w:szCs w:val="18"/>
                <w:lang w:val="nl-NL"/>
              </w:rPr>
            </w:pPr>
            <w:r>
              <w:rPr>
                <w:rFonts w:ascii="Cambria" w:hAnsi="Cambria"/>
                <w:color w:val="5E6160"/>
                <w:sz w:val="18"/>
                <w:szCs w:val="18"/>
                <w:lang w:val="nl-NL"/>
              </w:rPr>
              <w:t>www.fakton.com</w:t>
            </w:r>
            <w:r>
              <w:rPr>
                <w:rFonts w:cs="Calibri Light"/>
                <w:sz w:val="18"/>
                <w:szCs w:val="18"/>
                <w:lang w:val="nl-NL"/>
              </w:rPr>
              <w:t xml:space="preserve"> </w:t>
            </w:r>
          </w:p>
        </w:tc>
      </w:tr>
      <w:tr w:rsidR="001D5CCC" w:rsidRPr="00440FA3" w14:paraId="7716ECCB" w14:textId="77777777" w:rsidTr="00641161">
        <w:trPr>
          <w:trHeight w:val="518"/>
        </w:trPr>
        <w:tc>
          <w:tcPr>
            <w:tcW w:w="7077" w:type="dxa"/>
            <w:gridSpan w:val="2"/>
            <w:vAlign w:val="center"/>
          </w:tcPr>
          <w:p w14:paraId="477D052B" w14:textId="77777777" w:rsidR="001D5CCC" w:rsidRPr="00440FA3" w:rsidRDefault="00F739C1" w:rsidP="00F94BF9">
            <w:pPr>
              <w:pStyle w:val="Documenttype"/>
            </w:pPr>
            <w:r>
              <w:t>Nationale Warmtebijdrage</w:t>
            </w:r>
          </w:p>
        </w:tc>
        <w:tc>
          <w:tcPr>
            <w:tcW w:w="1977" w:type="dxa"/>
            <w:vMerge/>
          </w:tcPr>
          <w:p w14:paraId="223C1C50" w14:textId="77777777" w:rsidR="001D5CCC" w:rsidRPr="00440FA3" w:rsidRDefault="001D5CCC" w:rsidP="00641161">
            <w:pPr>
              <w:rPr>
                <w:rFonts w:ascii="Cambria" w:hAnsi="Cambria"/>
                <w:color w:val="5E6160"/>
                <w:sz w:val="18"/>
                <w:szCs w:val="18"/>
              </w:rPr>
            </w:pPr>
          </w:p>
        </w:tc>
      </w:tr>
      <w:tr w:rsidR="001D5CCC" w:rsidRPr="00583771" w14:paraId="23B53E64" w14:textId="77777777" w:rsidTr="00641161">
        <w:trPr>
          <w:trHeight w:val="1996"/>
        </w:trPr>
        <w:tc>
          <w:tcPr>
            <w:tcW w:w="2121" w:type="dxa"/>
          </w:tcPr>
          <w:p w14:paraId="45872FBE" w14:textId="77777777" w:rsidR="001D5CCC" w:rsidRPr="009A7176" w:rsidRDefault="001D5CCC" w:rsidP="00641161">
            <w:pPr>
              <w:pStyle w:val="Documenteigenschappen"/>
            </w:pPr>
            <w:r w:rsidRPr="009A7176">
              <w:t>Datum</w:t>
            </w:r>
          </w:p>
          <w:p w14:paraId="6E3F5992" w14:textId="77777777" w:rsidR="001D5CCC" w:rsidRPr="009A7176" w:rsidRDefault="00C17892" w:rsidP="00641161">
            <w:pPr>
              <w:pStyle w:val="Documenteigenschappen"/>
            </w:pPr>
            <w:r w:rsidRPr="009A7176">
              <w:t>Door</w:t>
            </w:r>
          </w:p>
        </w:tc>
        <w:tc>
          <w:tcPr>
            <w:tcW w:w="4956" w:type="dxa"/>
          </w:tcPr>
          <w:p w14:paraId="0F5C362B" w14:textId="57C1A439" w:rsidR="008C2FC2" w:rsidRPr="009A7176" w:rsidRDefault="001267B0" w:rsidP="008C2FC2">
            <w:pPr>
              <w:rPr>
                <w:lang w:val="nb-NO"/>
              </w:rPr>
            </w:pPr>
            <w:r>
              <w:rPr>
                <w:lang w:val="nl-NL"/>
              </w:rPr>
              <w:t xml:space="preserve">21 oktober </w:t>
            </w:r>
            <w:r w:rsidR="00583771">
              <w:rPr>
                <w:lang w:val="nl-NL"/>
              </w:rPr>
              <w:t>2026</w:t>
            </w:r>
          </w:p>
          <w:p w14:paraId="5F96DA79" w14:textId="77777777" w:rsidR="001D5CCC" w:rsidRPr="009A7176" w:rsidRDefault="00C17892" w:rsidP="00641161">
            <w:pPr>
              <w:rPr>
                <w:b/>
                <w:lang w:val="nb-NO"/>
              </w:rPr>
            </w:pPr>
            <w:r w:rsidRPr="009A7176">
              <w:rPr>
                <w:b/>
                <w:lang w:val="nb-NO"/>
              </w:rPr>
              <w:t>Bram Borst en Roy Hendriks</w:t>
            </w:r>
          </w:p>
        </w:tc>
        <w:tc>
          <w:tcPr>
            <w:tcW w:w="1977" w:type="dxa"/>
            <w:vMerge/>
          </w:tcPr>
          <w:p w14:paraId="39483F68" w14:textId="77777777" w:rsidR="001D5CCC" w:rsidRPr="00440FA3" w:rsidRDefault="001D5CCC" w:rsidP="00641161">
            <w:pPr>
              <w:rPr>
                <w:rFonts w:ascii="Cambria" w:hAnsi="Cambria"/>
                <w:color w:val="5E6160"/>
                <w:szCs w:val="20"/>
                <w:lang w:val="nb-NO"/>
              </w:rPr>
            </w:pPr>
          </w:p>
        </w:tc>
      </w:tr>
    </w:tbl>
    <w:p w14:paraId="7B275259" w14:textId="77777777" w:rsidR="003E0E3B" w:rsidRPr="00440FA3" w:rsidRDefault="003E0E3B">
      <w:pPr>
        <w:rPr>
          <w:lang w:val="nb-NO"/>
        </w:rPr>
      </w:pPr>
    </w:p>
    <w:p w14:paraId="2E8F203C" w14:textId="77777777" w:rsidR="00A93FD7" w:rsidRPr="00440FA3" w:rsidRDefault="00A93FD7">
      <w:pPr>
        <w:rPr>
          <w:lang w:val="nb-NO"/>
        </w:rPr>
      </w:pPr>
    </w:p>
    <w:p w14:paraId="43D47A09" w14:textId="33FEBDE1" w:rsidR="00F739C1" w:rsidRPr="00440FA3" w:rsidRDefault="00F739C1" w:rsidP="00F739C1">
      <w:pPr>
        <w:spacing w:before="120" w:after="80"/>
        <w:rPr>
          <w:rFonts w:ascii="Calibri" w:hAnsi="Calibri" w:cs="Calibri"/>
          <w:b/>
          <w:bCs/>
          <w:color w:val="17365D"/>
          <w:sz w:val="22"/>
          <w:lang w:val="nl-NL"/>
        </w:rPr>
      </w:pPr>
      <w:r>
        <w:rPr>
          <w:rFonts w:ascii="Calibri" w:hAnsi="Calibri" w:cs="Calibri"/>
          <w:b/>
          <w:bCs/>
          <w:color w:val="17365D"/>
          <w:sz w:val="22"/>
          <w:lang w:val="nl-NL"/>
        </w:rPr>
        <w:t xml:space="preserve">De Collectieve Warmtetransitie betaalbaar voor </w:t>
      </w:r>
      <w:proofErr w:type="gramStart"/>
      <w:r>
        <w:rPr>
          <w:rFonts w:ascii="Calibri" w:hAnsi="Calibri" w:cs="Calibri"/>
          <w:b/>
          <w:bCs/>
          <w:color w:val="17365D"/>
          <w:sz w:val="22"/>
          <w:lang w:val="nl-NL"/>
        </w:rPr>
        <w:t>circa</w:t>
      </w:r>
      <w:proofErr w:type="gramEnd"/>
      <w:r>
        <w:rPr>
          <w:rFonts w:ascii="Calibri" w:hAnsi="Calibri" w:cs="Calibri"/>
          <w:b/>
          <w:bCs/>
          <w:color w:val="17365D"/>
          <w:sz w:val="22"/>
          <w:lang w:val="nl-NL"/>
        </w:rPr>
        <w:t xml:space="preserve"> drie euro per maand</w:t>
      </w:r>
    </w:p>
    <w:p w14:paraId="495A75BF" w14:textId="77777777" w:rsidR="00F739C1" w:rsidRPr="00253883" w:rsidRDefault="00253883" w:rsidP="00F739C1">
      <w:pPr>
        <w:spacing w:after="140"/>
        <w:rPr>
          <w:rFonts w:ascii="Calibri" w:hAnsi="Calibri" w:cs="Calibri"/>
          <w:b/>
          <w:bCs/>
          <w:sz w:val="22"/>
          <w:lang w:val="nl-NL"/>
        </w:rPr>
      </w:pPr>
      <w:r>
        <w:rPr>
          <w:rFonts w:ascii="Calibri" w:hAnsi="Calibri" w:cs="Calibri"/>
          <w:b/>
          <w:bCs/>
          <w:sz w:val="22"/>
          <w:lang w:val="nl-NL"/>
        </w:rPr>
        <w:t>Van €828 naar €550 vastrecht, met de kosten breder verdeeld.</w:t>
      </w:r>
    </w:p>
    <w:p w14:paraId="2E640F5B" w14:textId="47AFA485" w:rsidR="00F739C1" w:rsidRPr="00440FA3" w:rsidRDefault="00F739C1" w:rsidP="00F739C1">
      <w:pPr>
        <w:spacing w:after="140"/>
        <w:rPr>
          <w:rFonts w:ascii="Calibri" w:hAnsi="Calibri" w:cs="Calibri"/>
          <w:sz w:val="22"/>
          <w:lang w:val="nl-NL"/>
        </w:rPr>
      </w:pPr>
      <w:r>
        <w:rPr>
          <w:rFonts w:ascii="Calibri" w:hAnsi="Calibri" w:cs="Calibri"/>
          <w:b/>
          <w:bCs/>
          <w:sz w:val="22"/>
          <w:lang w:val="nl-NL"/>
        </w:rPr>
        <w:t xml:space="preserve">Warmte hoort bij hetzelfde energiesysteem als elektriciteit en gas, maar wordt als enige lokaal afgerekend. Bij elektriciteit en gas worden de kosten van collectieve infrastructuur over miljoenen aansluitingen gedeeld. Bij warmte betaalt de gebonden klant van één </w:t>
      </w:r>
      <w:r w:rsidR="00340B56">
        <w:rPr>
          <w:rFonts w:ascii="Calibri" w:hAnsi="Calibri" w:cs="Calibri"/>
          <w:b/>
          <w:bCs/>
          <w:sz w:val="22"/>
          <w:lang w:val="nl-NL"/>
        </w:rPr>
        <w:t>warmte</w:t>
      </w:r>
      <w:r>
        <w:rPr>
          <w:rFonts w:ascii="Calibri" w:hAnsi="Calibri" w:cs="Calibri"/>
          <w:b/>
          <w:bCs/>
          <w:sz w:val="22"/>
          <w:lang w:val="nl-NL"/>
        </w:rPr>
        <w:t>net alles zelf. Het hoge vastrecht vormt daardoor een van de belangrijkste belemmeringen voor nieuwe aansluitingen. Onder kostengebaseerde tarieven wordt dat probleem groter. Deze whitepaper berekent welke landelijke bijdrage nodig is</w:t>
      </w:r>
      <w:r w:rsidR="00340B56">
        <w:rPr>
          <w:rFonts w:ascii="Calibri" w:hAnsi="Calibri" w:cs="Calibri"/>
          <w:b/>
          <w:bCs/>
          <w:sz w:val="22"/>
          <w:lang w:val="nl-NL"/>
        </w:rPr>
        <w:t xml:space="preserve"> om collectieve warmte betaalbaar te maken.</w:t>
      </w:r>
    </w:p>
    <w:p w14:paraId="4FADF046" w14:textId="77777777" w:rsidR="00F739C1" w:rsidRPr="009A7176" w:rsidRDefault="00F739C1" w:rsidP="00F739C1">
      <w:pPr>
        <w:pStyle w:val="Kop1"/>
        <w:rPr>
          <w:rFonts w:cs="Calibri"/>
          <w:sz w:val="22"/>
          <w:szCs w:val="22"/>
          <w:lang w:val="nl-NL"/>
        </w:rPr>
      </w:pPr>
      <w:r w:rsidRPr="009A7176">
        <w:rPr>
          <w:rFonts w:cs="Calibri"/>
          <w:sz w:val="22"/>
          <w:szCs w:val="22"/>
          <w:lang w:val="nl-NL"/>
        </w:rPr>
        <w:t>Samenvatting</w:t>
      </w:r>
    </w:p>
    <w:p w14:paraId="5EE77B94" w14:textId="77777777"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 xml:space="preserve">Het vaste deel van de warmterekening neemt al jaren toe en mag in 2026 maximaal €827,90 per jaar zijn (+9% ten opzichte van 2025). </w:t>
      </w:r>
    </w:p>
    <w:p w14:paraId="717CC7E9" w14:textId="77777777" w:rsidR="00340B56" w:rsidRPr="00402602" w:rsidRDefault="00F739C1" w:rsidP="00402602">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Onder kostengebaseerde tarieven neemt de spreiding sterk toe: ACM-economen komen op vaste kosten van circa €200 tot bijna €2.000 per jaar, afhankelijk van het net. Zonder flankerend beleid gaat ongeveer de helft van de warmteklanten meer betalen dan nu. [2][5]</w:t>
      </w:r>
    </w:p>
    <w:p w14:paraId="5B0E2C1B" w14:textId="27114066" w:rsidR="00F739C1" w:rsidRPr="003B2B8F" w:rsidRDefault="00340B56" w:rsidP="00F739C1">
      <w:pPr>
        <w:pStyle w:val="Lijstalinea"/>
        <w:numPr>
          <w:ilvl w:val="0"/>
          <w:numId w:val="1"/>
        </w:numPr>
        <w:spacing w:after="80" w:line="276" w:lineRule="auto"/>
        <w:rPr>
          <w:rFonts w:ascii="Calibri" w:hAnsi="Calibri" w:cs="Calibri"/>
          <w:sz w:val="22"/>
          <w:szCs w:val="22"/>
        </w:rPr>
      </w:pPr>
      <w:proofErr w:type="spellStart"/>
      <w:r>
        <w:rPr>
          <w:rFonts w:ascii="Calibri" w:hAnsi="Calibri" w:cs="Calibri"/>
          <w:sz w:val="22"/>
          <w:szCs w:val="22"/>
        </w:rPr>
        <w:t>Fakton</w:t>
      </w:r>
      <w:proofErr w:type="spellEnd"/>
      <w:r>
        <w:rPr>
          <w:rFonts w:ascii="Calibri" w:hAnsi="Calibri" w:cs="Calibri"/>
          <w:sz w:val="22"/>
          <w:szCs w:val="22"/>
        </w:rPr>
        <w:t xml:space="preserve"> Energy </w:t>
      </w:r>
      <w:r w:rsidR="00F739C1">
        <w:rPr>
          <w:rFonts w:ascii="Calibri" w:hAnsi="Calibri" w:cs="Calibri"/>
          <w:sz w:val="22"/>
          <w:szCs w:val="22"/>
        </w:rPr>
        <w:t>stel</w:t>
      </w:r>
      <w:r>
        <w:rPr>
          <w:rFonts w:ascii="Calibri" w:hAnsi="Calibri" w:cs="Calibri"/>
          <w:sz w:val="22"/>
          <w:szCs w:val="22"/>
        </w:rPr>
        <w:t>t</w:t>
      </w:r>
      <w:r w:rsidR="00F739C1">
        <w:rPr>
          <w:rFonts w:ascii="Calibri" w:hAnsi="Calibri" w:cs="Calibri"/>
          <w:sz w:val="22"/>
          <w:szCs w:val="22"/>
        </w:rPr>
        <w:t xml:space="preserve"> een </w:t>
      </w:r>
      <w:r w:rsidR="00F739C1">
        <w:rPr>
          <w:rFonts w:ascii="Calibri" w:hAnsi="Calibri" w:cs="Calibri"/>
          <w:b/>
          <w:bCs/>
          <w:sz w:val="22"/>
          <w:szCs w:val="22"/>
        </w:rPr>
        <w:t>betaalbaar vastrecht</w:t>
      </w:r>
      <w:r w:rsidR="00F739C1">
        <w:rPr>
          <w:rFonts w:ascii="Calibri" w:hAnsi="Calibri" w:cs="Calibri"/>
          <w:sz w:val="22"/>
          <w:szCs w:val="22"/>
        </w:rPr>
        <w:t xml:space="preserve"> voor van </w:t>
      </w:r>
      <w:proofErr w:type="gramStart"/>
      <w:r w:rsidR="00F739C1">
        <w:rPr>
          <w:rFonts w:ascii="Calibri" w:hAnsi="Calibri" w:cs="Calibri"/>
          <w:sz w:val="22"/>
          <w:szCs w:val="22"/>
        </w:rPr>
        <w:t>circa</w:t>
      </w:r>
      <w:proofErr w:type="gramEnd"/>
      <w:r w:rsidR="00F739C1">
        <w:rPr>
          <w:rFonts w:ascii="Calibri" w:hAnsi="Calibri" w:cs="Calibri"/>
          <w:sz w:val="22"/>
          <w:szCs w:val="22"/>
        </w:rPr>
        <w:t xml:space="preserve"> </w:t>
      </w:r>
      <w:r w:rsidR="00F739C1">
        <w:rPr>
          <w:rFonts w:ascii="Calibri" w:hAnsi="Calibri" w:cs="Calibri"/>
          <w:b/>
          <w:bCs/>
          <w:sz w:val="22"/>
          <w:szCs w:val="22"/>
        </w:rPr>
        <w:t>€548 per jaar</w:t>
      </w:r>
      <w:r w:rsidR="00F739C1">
        <w:rPr>
          <w:rFonts w:ascii="Calibri" w:hAnsi="Calibri" w:cs="Calibri"/>
          <w:sz w:val="22"/>
          <w:szCs w:val="22"/>
        </w:rPr>
        <w:t xml:space="preserve">: het vaste bedrag dat de warmteklant zelf betaalt. Dat bedrag is gebaseerd op de vaste net-, leverings- en meetkosten in de gasreferentie, plus de afleverset. Het ligt circa een derde onder het huidige maximum. Het verschil van </w:t>
      </w:r>
      <w:r w:rsidR="00F739C1">
        <w:rPr>
          <w:rFonts w:ascii="Calibri" w:hAnsi="Calibri" w:cs="Calibri"/>
          <w:b/>
          <w:bCs/>
          <w:sz w:val="22"/>
          <w:szCs w:val="22"/>
        </w:rPr>
        <w:t>€280</w:t>
      </w:r>
      <w:r w:rsidR="00F739C1">
        <w:rPr>
          <w:rFonts w:ascii="Calibri" w:hAnsi="Calibri" w:cs="Calibri"/>
          <w:sz w:val="22"/>
          <w:szCs w:val="22"/>
        </w:rPr>
        <w:t xml:space="preserve"> gebruiken we als indicatieve bijdrage voor een betaalbaar vastrecht.</w:t>
      </w:r>
    </w:p>
    <w:p w14:paraId="49BEE864" w14:textId="5BE05EC5" w:rsidR="00F739C1" w:rsidRPr="00440FA3" w:rsidRDefault="00340B56" w:rsidP="00F739C1">
      <w:pPr>
        <w:pStyle w:val="Lijstalinea"/>
        <w:numPr>
          <w:ilvl w:val="0"/>
          <w:numId w:val="1"/>
        </w:numPr>
        <w:spacing w:after="80" w:line="276" w:lineRule="auto"/>
        <w:rPr>
          <w:rFonts w:ascii="Calibri" w:hAnsi="Calibri" w:cs="Calibri"/>
          <w:sz w:val="22"/>
          <w:szCs w:val="22"/>
        </w:rPr>
      </w:pPr>
      <w:r w:rsidRPr="00340B56">
        <w:rPr>
          <w:rFonts w:ascii="Calibri" w:hAnsi="Calibri" w:cs="Calibri"/>
          <w:sz w:val="22"/>
          <w:szCs w:val="22"/>
          <w:lang w:bidi="en-US"/>
        </w:rPr>
        <w:t xml:space="preserve">De structurele vastrechtbijdrage kost </w:t>
      </w:r>
      <w:proofErr w:type="gramStart"/>
      <w:r w:rsidRPr="00340B56">
        <w:rPr>
          <w:rFonts w:ascii="Calibri" w:hAnsi="Calibri" w:cs="Calibri"/>
          <w:sz w:val="22"/>
          <w:szCs w:val="22"/>
          <w:lang w:bidi="en-US"/>
        </w:rPr>
        <w:t>circa</w:t>
      </w:r>
      <w:proofErr w:type="gramEnd"/>
      <w:r w:rsidRPr="00340B56">
        <w:rPr>
          <w:rFonts w:ascii="Calibri" w:hAnsi="Calibri" w:cs="Calibri"/>
          <w:sz w:val="22"/>
          <w:szCs w:val="22"/>
          <w:lang w:bidi="en-US"/>
        </w:rPr>
        <w:t xml:space="preserve"> €2 tot €3 per huishoudelijke elektriciteitsaansluiting per maand. Bij 30.000 nieuwe aansluitingen per jaar komt de onrendabele top daar tijdelijk bij en gaat het in totaal om </w:t>
      </w:r>
      <w:proofErr w:type="gramStart"/>
      <w:r w:rsidRPr="00340B56">
        <w:rPr>
          <w:rFonts w:ascii="Calibri" w:hAnsi="Calibri" w:cs="Calibri"/>
          <w:sz w:val="22"/>
          <w:szCs w:val="22"/>
          <w:lang w:bidi="en-US"/>
        </w:rPr>
        <w:t>circa</w:t>
      </w:r>
      <w:proofErr w:type="gramEnd"/>
      <w:r w:rsidRPr="00340B56">
        <w:rPr>
          <w:rFonts w:ascii="Calibri" w:hAnsi="Calibri" w:cs="Calibri"/>
          <w:sz w:val="22"/>
          <w:szCs w:val="22"/>
          <w:lang w:bidi="en-US"/>
        </w:rPr>
        <w:t xml:space="preserve"> €5 per maand, zonder structureel beroep op de Rijksbegroting.</w:t>
      </w:r>
    </w:p>
    <w:p w14:paraId="06E68060" w14:textId="32BF83B0"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lastRenderedPageBreak/>
        <w:t xml:space="preserve">Voor de inning liggen twee routes voor de hand, die allebei een wetswijziging vragen: een opslag op het elektriciteitsnettarief en een </w:t>
      </w:r>
      <w:r>
        <w:rPr>
          <w:rFonts w:ascii="Calibri" w:hAnsi="Calibri" w:cs="Calibri"/>
          <w:b/>
          <w:bCs/>
          <w:sz w:val="22"/>
          <w:szCs w:val="22"/>
        </w:rPr>
        <w:t>geoormerkte heffing via de energiebelasting</w:t>
      </w:r>
      <w:r>
        <w:rPr>
          <w:rFonts w:ascii="Calibri" w:hAnsi="Calibri" w:cs="Calibri"/>
          <w:sz w:val="22"/>
          <w:szCs w:val="22"/>
        </w:rPr>
        <w:t>. De opslag op het nettarief is de fundamentelere ingreep, omdat die raakt aan het Europese tariefkader. Voor de energiebelasting bestaat met de ODE al een precedent. Dat maakt de heffing de meest werkbare route. Dekking uit de Rijksbegroting ligt in het huidige financiële klimaat niet voor de hand.</w:t>
      </w:r>
    </w:p>
    <w:p w14:paraId="53D78617" w14:textId="782BD6EB" w:rsidR="00F739C1" w:rsidRPr="00440FA3" w:rsidRDefault="00F739C1" w:rsidP="00F739C1">
      <w:pPr>
        <w:pStyle w:val="Kop1"/>
        <w:rPr>
          <w:rFonts w:cs="Calibri"/>
          <w:sz w:val="22"/>
          <w:szCs w:val="22"/>
          <w:lang w:val="nl-NL"/>
        </w:rPr>
      </w:pPr>
      <w:r>
        <w:rPr>
          <w:rFonts w:cs="Calibri"/>
          <w:sz w:val="22"/>
          <w:szCs w:val="22"/>
          <w:lang w:val="nl-NL"/>
        </w:rPr>
        <w:t xml:space="preserve">1. Aanleiding: het vastrecht is de </w:t>
      </w:r>
      <w:proofErr w:type="gramStart"/>
      <w:r>
        <w:rPr>
          <w:rFonts w:cs="Calibri"/>
          <w:sz w:val="22"/>
          <w:szCs w:val="22"/>
          <w:lang w:val="nl-NL"/>
        </w:rPr>
        <w:t>dealbreaker,  fase</w:t>
      </w:r>
      <w:proofErr w:type="gramEnd"/>
      <w:r>
        <w:rPr>
          <w:rFonts w:cs="Calibri"/>
          <w:sz w:val="22"/>
          <w:szCs w:val="22"/>
          <w:lang w:val="nl-NL"/>
        </w:rPr>
        <w:t xml:space="preserve"> 2 </w:t>
      </w:r>
      <w:proofErr w:type="spellStart"/>
      <w:r>
        <w:rPr>
          <w:rFonts w:cs="Calibri"/>
          <w:sz w:val="22"/>
          <w:szCs w:val="22"/>
          <w:lang w:val="nl-NL"/>
        </w:rPr>
        <w:t>kostengebaseerde</w:t>
      </w:r>
      <w:proofErr w:type="spellEnd"/>
      <w:r>
        <w:rPr>
          <w:rFonts w:cs="Calibri"/>
          <w:sz w:val="22"/>
          <w:szCs w:val="22"/>
          <w:lang w:val="nl-NL"/>
        </w:rPr>
        <w:t xml:space="preserve"> warmtetarieven maakt dat erger</w:t>
      </w:r>
    </w:p>
    <w:p w14:paraId="0E40086F" w14:textId="44E0E95C" w:rsidR="00F739C1" w:rsidRPr="00440FA3" w:rsidRDefault="00F739C1" w:rsidP="00F739C1">
      <w:pPr>
        <w:spacing w:after="140"/>
        <w:rPr>
          <w:rFonts w:ascii="Calibri" w:hAnsi="Calibri" w:cs="Calibri"/>
          <w:sz w:val="22"/>
          <w:lang w:val="nl-NL"/>
        </w:rPr>
      </w:pPr>
      <w:r>
        <w:rPr>
          <w:rFonts w:ascii="Calibri" w:hAnsi="Calibri" w:cs="Calibri"/>
          <w:sz w:val="22"/>
          <w:lang w:val="nl-NL"/>
        </w:rPr>
        <w:t>In 2026 st</w:t>
      </w:r>
      <w:r w:rsidR="00B03177">
        <w:rPr>
          <w:rFonts w:ascii="Calibri" w:hAnsi="Calibri" w:cs="Calibri"/>
          <w:sz w:val="22"/>
          <w:lang w:val="nl-NL"/>
        </w:rPr>
        <w:t>e</w:t>
      </w:r>
      <w:r>
        <w:rPr>
          <w:rFonts w:ascii="Calibri" w:hAnsi="Calibri" w:cs="Calibri"/>
          <w:sz w:val="22"/>
          <w:lang w:val="nl-NL"/>
        </w:rPr>
        <w:t>gen de maximale vaste kosten met 9% naar €827,90 per jaar. [2] Voor een huishouden dat overweegt aan te sluiten is dat vaste bedrag het eerste en meest zichtbare getal en in de praktijk vaak de reden om af te haken. In onze TCO-berekeningen bij Fakton Energy voor warmteprojecten zien we steeds hetzelfde: om voor een gemiddelde woning ongeveer gelijk uit te komen met de huidige situatie, is 25–30% korting op het vaste deel nodig.</w:t>
      </w:r>
      <w:r w:rsidR="005A09BC">
        <w:rPr>
          <w:rFonts w:ascii="Calibri" w:hAnsi="Calibri" w:cs="Calibri"/>
          <w:sz w:val="22"/>
          <w:lang w:val="nl-NL"/>
        </w:rPr>
        <w:t xml:space="preserve"> </w:t>
      </w:r>
    </w:p>
    <w:p w14:paraId="49904944" w14:textId="79C4A857" w:rsidR="00F739C1" w:rsidRPr="00440FA3" w:rsidRDefault="00F739C1" w:rsidP="00F739C1">
      <w:pPr>
        <w:spacing w:after="140"/>
        <w:rPr>
          <w:rFonts w:ascii="Calibri" w:hAnsi="Calibri" w:cs="Calibri"/>
          <w:sz w:val="22"/>
          <w:lang w:val="nl-NL"/>
        </w:rPr>
      </w:pPr>
      <w:r>
        <w:rPr>
          <w:rFonts w:ascii="Calibri" w:hAnsi="Calibri" w:cs="Calibri"/>
          <w:sz w:val="22"/>
          <w:lang w:val="nl-NL"/>
        </w:rPr>
        <w:t xml:space="preserve">Daar komt nog bij dat het aan een warmteklant natuurlijk niet uit te leggen is dat het maximale vaste bedrag is gebaseerd op de kosten van een cv-ketel (€459 per jaar) die een warmteklant niet meer in huis heeft, omdat het warmtenet die functie heeft overgenomen. </w:t>
      </w:r>
      <w:r w:rsidR="00B03177" w:rsidRPr="009A7176">
        <w:rPr>
          <w:rFonts w:ascii="Calibri" w:hAnsi="Calibri" w:cs="Calibri"/>
          <w:sz w:val="22"/>
          <w:lang w:val="nl-NL"/>
        </w:rPr>
        <w:t xml:space="preserve">In de praktijk gaat dat geld naar de warmtebron en het net. Wel maakt het precies het bedrag groter waarop klanten </w:t>
      </w:r>
      <w:proofErr w:type="spellStart"/>
      <w:proofErr w:type="gramStart"/>
      <w:r w:rsidR="00B03177" w:rsidRPr="009A7176">
        <w:rPr>
          <w:rFonts w:ascii="Calibri" w:hAnsi="Calibri" w:cs="Calibri"/>
          <w:sz w:val="22"/>
          <w:lang w:val="nl-NL"/>
        </w:rPr>
        <w:t>afhaken.</w:t>
      </w:r>
      <w:r>
        <w:rPr>
          <w:rFonts w:ascii="Calibri" w:hAnsi="Calibri" w:cs="Calibri"/>
          <w:sz w:val="22"/>
          <w:lang w:val="nl-NL"/>
        </w:rPr>
        <w:t>Voorlopig</w:t>
      </w:r>
      <w:proofErr w:type="spellEnd"/>
      <w:proofErr w:type="gramEnd"/>
      <w:r>
        <w:rPr>
          <w:rFonts w:ascii="Calibri" w:hAnsi="Calibri" w:cs="Calibri"/>
          <w:sz w:val="22"/>
          <w:lang w:val="nl-NL"/>
        </w:rPr>
        <w:t xml:space="preserve"> zitten we bovendien </w:t>
      </w:r>
      <w:r w:rsidR="00B03177">
        <w:rPr>
          <w:rFonts w:ascii="Calibri" w:hAnsi="Calibri" w:cs="Calibri"/>
          <w:sz w:val="22"/>
          <w:lang w:val="nl-NL"/>
        </w:rPr>
        <w:t xml:space="preserve">minimaal tot 2030 vast </w:t>
      </w:r>
      <w:r>
        <w:rPr>
          <w:rFonts w:ascii="Calibri" w:hAnsi="Calibri" w:cs="Calibri"/>
          <w:sz w:val="22"/>
          <w:lang w:val="nl-NL"/>
        </w:rPr>
        <w:t xml:space="preserve">aan die gasreferentie: pas in fase 2 van de </w:t>
      </w:r>
      <w:proofErr w:type="spellStart"/>
      <w:r>
        <w:rPr>
          <w:rFonts w:ascii="Calibri" w:hAnsi="Calibri" w:cs="Calibri"/>
          <w:sz w:val="22"/>
          <w:lang w:val="nl-NL"/>
        </w:rPr>
        <w:t>Wcw</w:t>
      </w:r>
      <w:proofErr w:type="spellEnd"/>
      <w:r>
        <w:rPr>
          <w:rFonts w:ascii="Calibri" w:hAnsi="Calibri" w:cs="Calibri"/>
          <w:sz w:val="22"/>
          <w:lang w:val="nl-NL"/>
        </w:rPr>
        <w:t>-tariefregulering wordt hij losgelaten. En zoals hieronder blijkt, wordt het vaste bedrag ook dan voor veel klanten niet vanzelf lager.</w:t>
      </w:r>
    </w:p>
    <w:p w14:paraId="3F577F5C" w14:textId="77777777" w:rsidR="00F739C1" w:rsidRPr="00440FA3" w:rsidRDefault="00F739C1" w:rsidP="00F739C1">
      <w:pPr>
        <w:spacing w:after="140"/>
        <w:rPr>
          <w:rFonts w:ascii="Calibri" w:hAnsi="Calibri" w:cs="Calibri"/>
          <w:sz w:val="22"/>
          <w:lang w:val="nl-NL"/>
        </w:rPr>
      </w:pPr>
      <w:r>
        <w:rPr>
          <w:rFonts w:ascii="Calibri" w:hAnsi="Calibri" w:cs="Calibri"/>
          <w:sz w:val="22"/>
          <w:lang w:val="nl-NL"/>
        </w:rPr>
        <w:t>Met de overgang naar kostengebaseerde tarieven onder de Wcw (fase 2) verdwijnt de gasreferentie als plafond en betaalt elke klant de kosten van zijn eigen net. ACM-economen Wittrock en Adriaansen laten zien wat dat betekent [5]:</w:t>
      </w:r>
    </w:p>
    <w:p w14:paraId="1ABDB51B" w14:textId="77777777"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Het integrale tarief verschilt tussen het goedkoopste en het duurste net een factor vijf.</w:t>
      </w:r>
    </w:p>
    <w:p w14:paraId="7AD987A0" w14:textId="77777777"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Het aandeel vaste kosten varieert van ongeveer 20% tot 80%, circa €200 tot bijna €2.000 per jaar.</w:t>
      </w:r>
    </w:p>
    <w:p w14:paraId="0634F585" w14:textId="77777777"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Zonder flankerend beleid gaat ongeveer de helft van de warmteklanten meer betalen dan nu. De bovenste 10% gaat gemiddeld 71% meer betalen, ruim €740 per jaar.</w:t>
      </w:r>
    </w:p>
    <w:p w14:paraId="38BBB47A" w14:textId="77777777" w:rsidR="00F739C1" w:rsidRPr="00440FA3" w:rsidRDefault="00F739C1" w:rsidP="00F739C1">
      <w:pPr>
        <w:spacing w:after="140"/>
        <w:rPr>
          <w:rFonts w:ascii="Calibri" w:hAnsi="Calibri" w:cs="Calibri"/>
          <w:sz w:val="22"/>
          <w:lang w:val="nl-NL"/>
        </w:rPr>
      </w:pPr>
      <w:r>
        <w:rPr>
          <w:rFonts w:ascii="Calibri" w:hAnsi="Calibri" w:cs="Calibri"/>
          <w:sz w:val="22"/>
          <w:lang w:val="nl-NL"/>
        </w:rPr>
        <w:t>Voor een warmteklant is de kans dus ongeveer fifty-fifty dat de overgang naar kostengebaseerde tarieven de rekening verder verhoogt. Wil het Rijk dat voorkomen, dan kost dat opnieuw geld en vraagt het ingewikkeld flankerend beleid: tariefplafonds, verevening en compensatie. Zelfs in het gunstigste scenario van de ACM-economen krijgt dan nog 23% van de klanten een stijging. De overgang naar kostengebaseerde tarieven vraagt daarom om aanvullende maatregelen voor betaalbaarheid. Deze whitepaper stelt een eenvoudiger vorm voor: één landelijk maximum voor het vaste deel, gefinancierd uit een brede bijdrage.</w:t>
      </w:r>
    </w:p>
    <w:p w14:paraId="140778E6" w14:textId="75B19525" w:rsidR="00F739C1" w:rsidRPr="00440FA3" w:rsidRDefault="00B03177" w:rsidP="00F739C1">
      <w:pPr>
        <w:spacing w:after="140"/>
        <w:rPr>
          <w:rFonts w:ascii="Calibri" w:hAnsi="Calibri" w:cs="Calibri"/>
          <w:sz w:val="22"/>
          <w:lang w:val="nl-NL"/>
        </w:rPr>
      </w:pPr>
      <w:r w:rsidRPr="009A7176">
        <w:rPr>
          <w:rFonts w:ascii="Calibri" w:hAnsi="Calibri" w:cs="Calibri"/>
          <w:sz w:val="22"/>
          <w:lang w:val="nl-NL"/>
        </w:rPr>
        <w:t xml:space="preserve">Studies en rapporten wijzen betaalbaarheid steeds aan als dé voorwaarde om de uitbreiding van warmtenetten weer op gang te krijgen. De ambitie om rond 2035 500.000 extra woningen aan te sluiten wordt alleen gehaald als ook de bestaande warmtebedrijven weer gaan investeren en uitbreiden. </w:t>
      </w:r>
      <w:r w:rsidR="00F739C1">
        <w:rPr>
          <w:rFonts w:ascii="Calibri" w:hAnsi="Calibri" w:cs="Calibri"/>
          <w:sz w:val="22"/>
          <w:lang w:val="nl-NL"/>
        </w:rPr>
        <w:t xml:space="preserve">Blijven die aansluitingen uit, dan kiezen meer huishoudens voor </w:t>
      </w:r>
      <w:proofErr w:type="spellStart"/>
      <w:r w:rsidR="00F739C1">
        <w:rPr>
          <w:rFonts w:ascii="Calibri" w:hAnsi="Calibri" w:cs="Calibri"/>
          <w:sz w:val="22"/>
          <w:lang w:val="nl-NL"/>
        </w:rPr>
        <w:t>all-electric</w:t>
      </w:r>
      <w:proofErr w:type="spellEnd"/>
      <w:r w:rsidR="00F739C1">
        <w:rPr>
          <w:rFonts w:ascii="Calibri" w:hAnsi="Calibri" w:cs="Calibri"/>
          <w:sz w:val="22"/>
          <w:lang w:val="nl-NL"/>
        </w:rPr>
        <w:t xml:space="preserve"> of hybride met extra belasting van het elektriciteitsnet. [1]</w:t>
      </w:r>
    </w:p>
    <w:p w14:paraId="7DB5DB74" w14:textId="77777777" w:rsidR="00F739C1" w:rsidRPr="00440FA3" w:rsidRDefault="00F739C1" w:rsidP="00F739C1">
      <w:pPr>
        <w:spacing w:after="140"/>
        <w:rPr>
          <w:rFonts w:ascii="Calibri" w:hAnsi="Calibri" w:cs="Calibri"/>
          <w:sz w:val="22"/>
          <w:lang w:val="nl-NL"/>
        </w:rPr>
      </w:pPr>
      <w:r>
        <w:rPr>
          <w:rFonts w:ascii="Calibri" w:hAnsi="Calibri" w:cs="Calibri"/>
          <w:sz w:val="22"/>
          <w:lang w:val="nl-NL"/>
        </w:rPr>
        <w:lastRenderedPageBreak/>
        <w:t xml:space="preserve">De kern van het probleem is de manier van verrekenen. Bij elektriciteit en gas worden de kosten van collectieve infrastructuur gedeeld over alle aansluitingen in een tariefgebied. Bij warmte draagt de klant van één </w:t>
      </w:r>
      <w:r w:rsidR="00B03177">
        <w:rPr>
          <w:rFonts w:ascii="Calibri" w:hAnsi="Calibri" w:cs="Calibri"/>
          <w:sz w:val="22"/>
          <w:lang w:val="nl-NL"/>
        </w:rPr>
        <w:t>warmte</w:t>
      </w:r>
      <w:r>
        <w:rPr>
          <w:rFonts w:ascii="Calibri" w:hAnsi="Calibri" w:cs="Calibri"/>
          <w:sz w:val="22"/>
          <w:lang w:val="nl-NL"/>
        </w:rPr>
        <w:t>net de volledige kosten van dat net. Dat is de systematiek die deze whitepaper ter discussie stelt.</w:t>
      </w:r>
    </w:p>
    <w:p w14:paraId="44B0F16B" w14:textId="77777777" w:rsidR="00F739C1" w:rsidRPr="000A06CD" w:rsidRDefault="00F739C1" w:rsidP="00F739C1">
      <w:pPr>
        <w:pStyle w:val="Kop1"/>
        <w:rPr>
          <w:rFonts w:cs="Calibri"/>
          <w:sz w:val="22"/>
          <w:szCs w:val="22"/>
          <w:lang w:val="nl-NL"/>
        </w:rPr>
      </w:pPr>
      <w:r>
        <w:rPr>
          <w:rFonts w:cs="Calibri"/>
          <w:sz w:val="22"/>
          <w:szCs w:val="22"/>
          <w:lang w:val="nl-NL"/>
        </w:rPr>
        <w:t>2. Wat is een redelijk vastrecht voor warmte?</w:t>
      </w:r>
    </w:p>
    <w:p w14:paraId="532A6E83" w14:textId="77777777" w:rsidR="00F739C1" w:rsidRPr="00440FA3" w:rsidRDefault="00F739C1" w:rsidP="00F739C1">
      <w:pPr>
        <w:keepNext/>
        <w:spacing w:after="140"/>
        <w:rPr>
          <w:rFonts w:ascii="Calibri" w:hAnsi="Calibri" w:cs="Calibri"/>
          <w:sz w:val="22"/>
        </w:rPr>
      </w:pPr>
      <w:r>
        <w:rPr>
          <w:rFonts w:ascii="Calibri" w:hAnsi="Calibri" w:cs="Calibri"/>
          <w:sz w:val="22"/>
          <w:lang w:val="nl-NL"/>
        </w:rPr>
        <w:t xml:space="preserve">Het maximale vaste warmtebedrag volgt uit de gasreferentie (NMDA): wat een gemiddeld huishouden met gas kwijt is aan netbeheer, levering, meten én een cv-ketel. </w:t>
      </w:r>
      <w:r>
        <w:rPr>
          <w:rFonts w:ascii="Calibri" w:hAnsi="Calibri" w:cs="Calibri"/>
          <w:sz w:val="22"/>
        </w:rPr>
        <w:t>Voor 2026 is de opbouw als volgt. [2][3]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1400"/>
        <w:gridCol w:w="4060"/>
      </w:tblGrid>
      <w:tr w:rsidR="00F739C1" w:rsidRPr="00440FA3" w14:paraId="109E4662" w14:textId="77777777" w:rsidTr="00F04BD9">
        <w:trPr>
          <w:cantSplit/>
          <w:tblHeader/>
        </w:trPr>
        <w:tc>
          <w:tcPr>
            <w:tcW w:w="39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1DDE6CDC" w14:textId="77777777" w:rsidR="00F739C1" w:rsidRPr="00440FA3" w:rsidRDefault="00F739C1" w:rsidP="00F04BD9">
            <w:pPr>
              <w:keepNext/>
              <w:rPr>
                <w:rFonts w:ascii="Calibri" w:hAnsi="Calibri" w:cs="Calibri"/>
                <w:sz w:val="22"/>
              </w:rPr>
            </w:pPr>
            <w:r>
              <w:rPr>
                <w:rFonts w:ascii="Calibri" w:hAnsi="Calibri" w:cs="Calibri"/>
                <w:b/>
                <w:bCs/>
                <w:sz w:val="22"/>
              </w:rPr>
              <w:t>Component</w:t>
            </w:r>
          </w:p>
        </w:tc>
        <w:tc>
          <w:tcPr>
            <w:tcW w:w="14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79030285" w14:textId="77777777" w:rsidR="00F739C1" w:rsidRPr="00440FA3" w:rsidRDefault="00F739C1" w:rsidP="00F04BD9">
            <w:pPr>
              <w:keepNext/>
              <w:rPr>
                <w:rFonts w:ascii="Calibri" w:hAnsi="Calibri" w:cs="Calibri"/>
                <w:sz w:val="22"/>
              </w:rPr>
            </w:pPr>
            <w:r>
              <w:rPr>
                <w:rFonts w:ascii="Calibri" w:hAnsi="Calibri" w:cs="Calibri"/>
                <w:b/>
                <w:bCs/>
                <w:sz w:val="22"/>
              </w:rPr>
              <w:t>2026</w:t>
            </w:r>
          </w:p>
        </w:tc>
        <w:tc>
          <w:tcPr>
            <w:tcW w:w="40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038496EA" w14:textId="77777777" w:rsidR="00F739C1" w:rsidRPr="00440FA3" w:rsidRDefault="00F739C1" w:rsidP="00F04BD9">
            <w:pPr>
              <w:keepNext/>
              <w:rPr>
                <w:rFonts w:ascii="Calibri" w:hAnsi="Calibri" w:cs="Calibri"/>
                <w:sz w:val="22"/>
              </w:rPr>
            </w:pPr>
            <w:r>
              <w:rPr>
                <w:rFonts w:ascii="Calibri" w:hAnsi="Calibri" w:cs="Calibri"/>
                <w:b/>
                <w:bCs/>
                <w:sz w:val="22"/>
              </w:rPr>
              <w:t>Rol in de vergelijking</w:t>
            </w:r>
          </w:p>
        </w:tc>
      </w:tr>
      <w:tr w:rsidR="00F739C1" w:rsidRPr="00583771" w14:paraId="6474391E" w14:textId="77777777" w:rsidTr="00F04BD9">
        <w:trPr>
          <w:cantSplit/>
        </w:trPr>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2FED9FF" w14:textId="77777777" w:rsidR="00F739C1" w:rsidRPr="00440FA3" w:rsidRDefault="00F739C1" w:rsidP="00F04BD9">
            <w:pPr>
              <w:keepNext/>
              <w:rPr>
                <w:rFonts w:ascii="Calibri" w:hAnsi="Calibri" w:cs="Calibri"/>
                <w:sz w:val="22"/>
                <w:lang w:val="nl-NL"/>
              </w:rPr>
            </w:pPr>
            <w:r>
              <w:rPr>
                <w:rFonts w:ascii="Calibri" w:hAnsi="Calibri" w:cs="Calibri"/>
                <w:sz w:val="22"/>
                <w:lang w:val="nl-NL"/>
              </w:rPr>
              <w:t>Netbeheer en vaste levering gas</w:t>
            </w:r>
          </w:p>
        </w:tc>
        <w:tc>
          <w:tcPr>
            <w:tcW w:w="1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5FDCE8D" w14:textId="77777777" w:rsidR="00F739C1" w:rsidRPr="00440FA3" w:rsidRDefault="00F739C1" w:rsidP="00F04BD9">
            <w:pPr>
              <w:keepNext/>
              <w:jc w:val="right"/>
              <w:rPr>
                <w:rFonts w:ascii="Calibri" w:hAnsi="Calibri" w:cs="Calibri"/>
                <w:sz w:val="22"/>
              </w:rPr>
            </w:pPr>
            <w:r>
              <w:rPr>
                <w:rFonts w:ascii="Calibri" w:hAnsi="Calibri" w:cs="Calibri"/>
                <w:sz w:val="22"/>
              </w:rPr>
              <w:t>€335,42</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4E9B292" w14:textId="77777777" w:rsidR="00F739C1" w:rsidRPr="004A087C" w:rsidRDefault="004A087C" w:rsidP="00F04BD9">
            <w:pPr>
              <w:keepNext/>
              <w:rPr>
                <w:rFonts w:ascii="Calibri" w:hAnsi="Calibri" w:cs="Calibri"/>
                <w:sz w:val="22"/>
                <w:lang w:val="nl-NL"/>
              </w:rPr>
            </w:pPr>
            <w:r>
              <w:rPr>
                <w:rFonts w:ascii="Calibri" w:hAnsi="Calibri" w:cs="Calibri"/>
                <w:sz w:val="22"/>
                <w:lang w:val="nl-NL"/>
              </w:rPr>
              <w:t>Referentie voor vaste kosten van net en levering</w:t>
            </w:r>
          </w:p>
        </w:tc>
      </w:tr>
      <w:tr w:rsidR="00F739C1" w:rsidRPr="00440FA3" w14:paraId="7DA5E1E4" w14:textId="77777777" w:rsidTr="00F04BD9">
        <w:trPr>
          <w:cantSplit/>
        </w:trPr>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9C028EF" w14:textId="77777777" w:rsidR="00F739C1" w:rsidRPr="00440FA3" w:rsidRDefault="00F739C1" w:rsidP="00F04BD9">
            <w:pPr>
              <w:keepNext/>
              <w:rPr>
                <w:rFonts w:ascii="Calibri" w:hAnsi="Calibri" w:cs="Calibri"/>
                <w:sz w:val="22"/>
              </w:rPr>
            </w:pPr>
            <w:proofErr w:type="spellStart"/>
            <w:r>
              <w:rPr>
                <w:rFonts w:ascii="Calibri" w:hAnsi="Calibri" w:cs="Calibri"/>
                <w:sz w:val="22"/>
              </w:rPr>
              <w:t>Meettarief</w:t>
            </w:r>
            <w:proofErr w:type="spellEnd"/>
          </w:p>
        </w:tc>
        <w:tc>
          <w:tcPr>
            <w:tcW w:w="1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EF4E63" w14:textId="77777777" w:rsidR="00F739C1" w:rsidRPr="00440FA3" w:rsidRDefault="00F739C1" w:rsidP="00F04BD9">
            <w:pPr>
              <w:keepNext/>
              <w:jc w:val="right"/>
              <w:rPr>
                <w:rFonts w:ascii="Calibri" w:hAnsi="Calibri" w:cs="Calibri"/>
                <w:sz w:val="22"/>
              </w:rPr>
            </w:pPr>
            <w:r>
              <w:rPr>
                <w:rFonts w:ascii="Calibri" w:hAnsi="Calibri" w:cs="Calibri"/>
                <w:sz w:val="22"/>
              </w:rPr>
              <w:t>€33,73</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9F0594" w14:textId="77777777" w:rsidR="00F739C1" w:rsidRPr="00440FA3" w:rsidRDefault="00F739C1" w:rsidP="00F04BD9">
            <w:pPr>
              <w:keepNext/>
              <w:rPr>
                <w:rFonts w:ascii="Calibri" w:hAnsi="Calibri" w:cs="Calibri"/>
                <w:sz w:val="22"/>
              </w:rPr>
            </w:pPr>
            <w:r>
              <w:rPr>
                <w:rFonts w:ascii="Calibri" w:hAnsi="Calibri" w:cs="Calibri"/>
                <w:sz w:val="22"/>
              </w:rPr>
              <w:t>Wordt warmtemeting</w:t>
            </w:r>
          </w:p>
        </w:tc>
      </w:tr>
      <w:tr w:rsidR="00F739C1" w:rsidRPr="00440FA3" w14:paraId="6A35A7ED" w14:textId="77777777" w:rsidTr="00F04BD9">
        <w:trPr>
          <w:cantSplit/>
        </w:trPr>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FD7F3F1" w14:textId="77777777" w:rsidR="00F739C1" w:rsidRPr="00440FA3" w:rsidRDefault="00F739C1" w:rsidP="00F04BD9">
            <w:pPr>
              <w:keepNext/>
              <w:rPr>
                <w:rFonts w:ascii="Calibri" w:hAnsi="Calibri" w:cs="Calibri"/>
                <w:sz w:val="22"/>
                <w:lang w:val="nl-NL"/>
              </w:rPr>
            </w:pPr>
            <w:r>
              <w:rPr>
                <w:rFonts w:ascii="Calibri" w:hAnsi="Calibri" w:cs="Calibri"/>
                <w:sz w:val="22"/>
                <w:lang w:val="nl-NL"/>
              </w:rPr>
              <w:t>Kapitaal- en onderhoudskosten cv-ketel</w:t>
            </w:r>
          </w:p>
        </w:tc>
        <w:tc>
          <w:tcPr>
            <w:tcW w:w="1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B65829" w14:textId="77777777" w:rsidR="00F739C1" w:rsidRPr="00440FA3" w:rsidRDefault="00F739C1" w:rsidP="00F04BD9">
            <w:pPr>
              <w:keepNext/>
              <w:jc w:val="right"/>
              <w:rPr>
                <w:rFonts w:ascii="Calibri" w:hAnsi="Calibri" w:cs="Calibri"/>
                <w:sz w:val="22"/>
              </w:rPr>
            </w:pPr>
            <w:r>
              <w:rPr>
                <w:rFonts w:ascii="Calibri" w:hAnsi="Calibri" w:cs="Calibri"/>
                <w:sz w:val="22"/>
              </w:rPr>
              <w:t>€458,75</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0612783" w14:textId="77777777" w:rsidR="00F739C1" w:rsidRPr="00440FA3" w:rsidRDefault="00BB4406" w:rsidP="00F04BD9">
            <w:pPr>
              <w:keepNext/>
              <w:rPr>
                <w:rFonts w:ascii="Calibri" w:hAnsi="Calibri" w:cs="Calibri"/>
                <w:sz w:val="22"/>
                <w:lang w:val="nl-NL"/>
              </w:rPr>
            </w:pPr>
            <w:r>
              <w:rPr>
                <w:rFonts w:ascii="Calibri" w:hAnsi="Calibri" w:cs="Calibri"/>
                <w:sz w:val="22"/>
              </w:rPr>
              <w:t>Gasreferentie voor de warmtevoorziening</w:t>
            </w:r>
          </w:p>
        </w:tc>
      </w:tr>
      <w:tr w:rsidR="00F739C1" w:rsidRPr="00440FA3" w14:paraId="456843E2" w14:textId="77777777" w:rsidTr="00F04BD9">
        <w:trPr>
          <w:cantSplit/>
        </w:trPr>
        <w:tc>
          <w:tcPr>
            <w:tcW w:w="39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2778190C" w14:textId="77777777" w:rsidR="00F739C1" w:rsidRPr="00440FA3" w:rsidRDefault="002744D8" w:rsidP="00F04BD9">
            <w:pPr>
              <w:keepNext/>
              <w:rPr>
                <w:rFonts w:ascii="Calibri" w:hAnsi="Calibri" w:cs="Calibri"/>
                <w:sz w:val="22"/>
              </w:rPr>
            </w:pPr>
            <w:r>
              <w:rPr>
                <w:rFonts w:ascii="Calibri" w:hAnsi="Calibri" w:cs="Calibri"/>
                <w:b/>
                <w:bCs/>
                <w:sz w:val="22"/>
              </w:rPr>
              <w:t>Huidig maximum vaste warmtekosten</w:t>
            </w:r>
          </w:p>
        </w:tc>
        <w:tc>
          <w:tcPr>
            <w:tcW w:w="14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4565B50E" w14:textId="77777777" w:rsidR="00F739C1" w:rsidRPr="00440FA3" w:rsidRDefault="00F739C1" w:rsidP="00F04BD9">
            <w:pPr>
              <w:keepNext/>
              <w:jc w:val="right"/>
              <w:rPr>
                <w:rFonts w:ascii="Calibri" w:hAnsi="Calibri" w:cs="Calibri"/>
                <w:sz w:val="22"/>
              </w:rPr>
            </w:pPr>
            <w:r>
              <w:rPr>
                <w:rFonts w:ascii="Calibri" w:hAnsi="Calibri" w:cs="Calibri"/>
                <w:b/>
                <w:bCs/>
                <w:sz w:val="22"/>
              </w:rPr>
              <w:t>€827,90</w:t>
            </w:r>
          </w:p>
        </w:tc>
        <w:tc>
          <w:tcPr>
            <w:tcW w:w="406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69DFAFCD" w14:textId="77777777" w:rsidR="00F739C1" w:rsidRPr="00440FA3" w:rsidRDefault="001458A1" w:rsidP="00F04BD9">
            <w:pPr>
              <w:keepNext/>
              <w:rPr>
                <w:rFonts w:ascii="Calibri" w:hAnsi="Calibri" w:cs="Calibri"/>
                <w:sz w:val="22"/>
              </w:rPr>
            </w:pPr>
            <w:r>
              <w:rPr>
                <w:rFonts w:ascii="Calibri" w:hAnsi="Calibri" w:cs="Calibri"/>
                <w:b/>
                <w:bCs/>
                <w:sz w:val="22"/>
              </w:rPr>
              <w:t>Gebaseerd op gasreferentie (NMDA)</w:t>
            </w:r>
          </w:p>
        </w:tc>
      </w:tr>
      <w:tr w:rsidR="00F739C1" w:rsidRPr="00583771" w14:paraId="13B53390" w14:textId="77777777" w:rsidTr="00F04BD9">
        <w:trPr>
          <w:cantSplit/>
        </w:trPr>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010AF8" w14:textId="77777777" w:rsidR="00F739C1" w:rsidRPr="00440FA3" w:rsidRDefault="00F739C1" w:rsidP="00F04BD9">
            <w:pPr>
              <w:keepNext/>
              <w:rPr>
                <w:rFonts w:ascii="Calibri" w:hAnsi="Calibri" w:cs="Calibri"/>
                <w:sz w:val="22"/>
              </w:rPr>
            </w:pPr>
            <w:r>
              <w:rPr>
                <w:rFonts w:ascii="Calibri" w:hAnsi="Calibri" w:cs="Calibri"/>
                <w:sz w:val="22"/>
              </w:rPr>
              <w:t>Afleverset warmte (maximumtarief)</w:t>
            </w:r>
          </w:p>
        </w:tc>
        <w:tc>
          <w:tcPr>
            <w:tcW w:w="1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F0EAC13" w14:textId="77777777" w:rsidR="00F739C1" w:rsidRPr="00440FA3" w:rsidRDefault="00F739C1" w:rsidP="00F04BD9">
            <w:pPr>
              <w:keepNext/>
              <w:jc w:val="right"/>
              <w:rPr>
                <w:rFonts w:ascii="Calibri" w:hAnsi="Calibri" w:cs="Calibri"/>
                <w:sz w:val="22"/>
              </w:rPr>
            </w:pPr>
            <w:r>
              <w:rPr>
                <w:rFonts w:ascii="Calibri" w:hAnsi="Calibri" w:cs="Calibri"/>
                <w:sz w:val="22"/>
              </w:rPr>
              <w:t>€178,51</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0EC48E4" w14:textId="77777777" w:rsidR="00F739C1" w:rsidRPr="00440FA3" w:rsidRDefault="00F739C1" w:rsidP="00F04BD9">
            <w:pPr>
              <w:keepNext/>
              <w:rPr>
                <w:rFonts w:ascii="Calibri" w:hAnsi="Calibri" w:cs="Calibri"/>
                <w:sz w:val="22"/>
                <w:lang w:val="nl-NL"/>
              </w:rPr>
            </w:pPr>
            <w:r>
              <w:rPr>
                <w:rFonts w:ascii="Calibri" w:hAnsi="Calibri" w:cs="Calibri"/>
                <w:sz w:val="22"/>
                <w:lang w:val="nl-NL"/>
              </w:rPr>
              <w:t>Individuele installatie bij de warmteklant</w:t>
            </w:r>
          </w:p>
        </w:tc>
      </w:tr>
      <w:tr w:rsidR="00F739C1" w:rsidRPr="00440FA3" w14:paraId="70E3F940" w14:textId="77777777" w:rsidTr="00F04BD9">
        <w:trPr>
          <w:cantSplit/>
        </w:trPr>
        <w:tc>
          <w:tcPr>
            <w:tcW w:w="39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2987E1E6" w14:textId="77777777" w:rsidR="00F739C1" w:rsidRPr="00440FA3" w:rsidRDefault="001458A1" w:rsidP="00F04BD9">
            <w:pPr>
              <w:keepNext/>
              <w:rPr>
                <w:rFonts w:ascii="Calibri" w:hAnsi="Calibri" w:cs="Calibri"/>
                <w:sz w:val="22"/>
                <w:lang w:val="nl-NL"/>
              </w:rPr>
            </w:pPr>
            <w:proofErr w:type="spellStart"/>
            <w:r>
              <w:rPr>
                <w:rFonts w:ascii="Calibri" w:hAnsi="Calibri" w:cs="Calibri"/>
                <w:b/>
                <w:bCs/>
                <w:sz w:val="22"/>
              </w:rPr>
              <w:t>Voorgesteld</w:t>
            </w:r>
            <w:proofErr w:type="spellEnd"/>
            <w:r>
              <w:rPr>
                <w:rFonts w:ascii="Calibri" w:hAnsi="Calibri" w:cs="Calibri"/>
                <w:b/>
                <w:bCs/>
                <w:sz w:val="22"/>
              </w:rPr>
              <w:t xml:space="preserve"> </w:t>
            </w:r>
            <w:proofErr w:type="spellStart"/>
            <w:r>
              <w:rPr>
                <w:rFonts w:ascii="Calibri" w:hAnsi="Calibri" w:cs="Calibri"/>
                <w:b/>
                <w:bCs/>
                <w:sz w:val="22"/>
              </w:rPr>
              <w:t>betaalbaar</w:t>
            </w:r>
            <w:proofErr w:type="spellEnd"/>
            <w:r>
              <w:rPr>
                <w:rFonts w:ascii="Calibri" w:hAnsi="Calibri" w:cs="Calibri"/>
                <w:b/>
                <w:bCs/>
                <w:sz w:val="22"/>
              </w:rPr>
              <w:t xml:space="preserve"> </w:t>
            </w:r>
            <w:proofErr w:type="spellStart"/>
            <w:r>
              <w:rPr>
                <w:rFonts w:ascii="Calibri" w:hAnsi="Calibri" w:cs="Calibri"/>
                <w:b/>
                <w:bCs/>
                <w:sz w:val="22"/>
              </w:rPr>
              <w:t>vastrecht</w:t>
            </w:r>
            <w:proofErr w:type="spellEnd"/>
          </w:p>
        </w:tc>
        <w:tc>
          <w:tcPr>
            <w:tcW w:w="14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5CF1EC13" w14:textId="77777777" w:rsidR="00F739C1" w:rsidRPr="00440FA3" w:rsidRDefault="00F739C1" w:rsidP="00F04BD9">
            <w:pPr>
              <w:keepNext/>
              <w:jc w:val="right"/>
              <w:rPr>
                <w:rFonts w:ascii="Calibri" w:hAnsi="Calibri" w:cs="Calibri"/>
                <w:sz w:val="22"/>
              </w:rPr>
            </w:pPr>
            <w:r>
              <w:rPr>
                <w:rFonts w:ascii="Calibri" w:hAnsi="Calibri" w:cs="Calibri"/>
                <w:b/>
                <w:bCs/>
                <w:sz w:val="22"/>
              </w:rPr>
              <w:t>€547,66</w:t>
            </w:r>
          </w:p>
        </w:tc>
        <w:tc>
          <w:tcPr>
            <w:tcW w:w="406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47FA8598" w14:textId="77777777" w:rsidR="00F739C1" w:rsidRPr="00440FA3" w:rsidRDefault="004C172B" w:rsidP="00F04BD9">
            <w:pPr>
              <w:keepNext/>
              <w:rPr>
                <w:rFonts w:ascii="Calibri" w:hAnsi="Calibri" w:cs="Calibri"/>
                <w:sz w:val="22"/>
              </w:rPr>
            </w:pPr>
            <w:r>
              <w:rPr>
                <w:rFonts w:ascii="Calibri" w:hAnsi="Calibri" w:cs="Calibri"/>
                <w:b/>
                <w:bCs/>
                <w:sz w:val="22"/>
              </w:rPr>
              <w:t>Vaste kosten gasreferentie + afleverset</w:t>
            </w:r>
          </w:p>
        </w:tc>
      </w:tr>
      <w:tr w:rsidR="00F739C1" w:rsidRPr="00583771" w14:paraId="0B116D06" w14:textId="77777777" w:rsidTr="00F04BD9">
        <w:trPr>
          <w:cantSplit/>
        </w:trPr>
        <w:tc>
          <w:tcPr>
            <w:tcW w:w="39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74DDEEB4" w14:textId="77777777" w:rsidR="00F739C1" w:rsidRPr="00440FA3" w:rsidRDefault="005505D8" w:rsidP="00F04BD9">
            <w:pPr>
              <w:rPr>
                <w:rFonts w:ascii="Calibri" w:hAnsi="Calibri" w:cs="Calibri"/>
                <w:sz w:val="22"/>
              </w:rPr>
            </w:pPr>
            <w:r>
              <w:rPr>
                <w:rFonts w:ascii="Calibri" w:hAnsi="Calibri" w:cs="Calibri"/>
                <w:b/>
                <w:bCs/>
                <w:sz w:val="22"/>
              </w:rPr>
              <w:t>Vastrechtbijdrage</w:t>
            </w:r>
          </w:p>
        </w:tc>
        <w:tc>
          <w:tcPr>
            <w:tcW w:w="14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011B634F" w14:textId="77777777" w:rsidR="00F739C1" w:rsidRPr="00440FA3" w:rsidRDefault="00F739C1" w:rsidP="00F04BD9">
            <w:pPr>
              <w:jc w:val="right"/>
              <w:rPr>
                <w:rFonts w:ascii="Calibri" w:hAnsi="Calibri" w:cs="Calibri"/>
                <w:sz w:val="22"/>
              </w:rPr>
            </w:pPr>
            <w:r>
              <w:rPr>
                <w:rFonts w:ascii="Calibri" w:hAnsi="Calibri" w:cs="Calibri"/>
                <w:b/>
                <w:bCs/>
                <w:sz w:val="22"/>
              </w:rPr>
              <w:t>€280,24</w:t>
            </w:r>
          </w:p>
        </w:tc>
        <w:tc>
          <w:tcPr>
            <w:tcW w:w="406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12BD812E" w14:textId="77777777" w:rsidR="00F739C1" w:rsidRPr="004C172B" w:rsidRDefault="004C172B" w:rsidP="00F04BD9">
            <w:pPr>
              <w:rPr>
                <w:rFonts w:ascii="Calibri" w:hAnsi="Calibri" w:cs="Calibri"/>
                <w:sz w:val="22"/>
                <w:lang w:val="nl-NL"/>
              </w:rPr>
            </w:pPr>
            <w:r>
              <w:rPr>
                <w:rFonts w:ascii="Calibri" w:hAnsi="Calibri" w:cs="Calibri"/>
                <w:b/>
                <w:bCs/>
                <w:sz w:val="22"/>
                <w:lang w:val="nl-NL"/>
              </w:rPr>
              <w:t>Indicatieve financieringsbehoefte via de nationale warmtebijdrage</w:t>
            </w:r>
          </w:p>
        </w:tc>
      </w:tr>
    </w:tbl>
    <w:p w14:paraId="36903DB5" w14:textId="77777777" w:rsidR="00F739C1" w:rsidRPr="00440FA3" w:rsidRDefault="00F739C1" w:rsidP="00F739C1">
      <w:pPr>
        <w:spacing w:after="60"/>
        <w:rPr>
          <w:rFonts w:ascii="Calibri" w:hAnsi="Calibri" w:cs="Calibri"/>
          <w:sz w:val="22"/>
          <w:lang w:val="nl-NL"/>
        </w:rPr>
      </w:pPr>
    </w:p>
    <w:p w14:paraId="569C25A0" w14:textId="77777777" w:rsidR="00F739C1" w:rsidRPr="00440FA3" w:rsidRDefault="003A745E" w:rsidP="00F739C1">
      <w:pPr>
        <w:spacing w:before="120" w:after="40"/>
        <w:jc w:val="center"/>
        <w:rPr>
          <w:rFonts w:ascii="Calibri" w:hAnsi="Calibri" w:cs="Calibri"/>
          <w:sz w:val="22"/>
        </w:rPr>
      </w:pPr>
      <w:r>
        <w:rPr>
          <w:noProof/>
        </w:rPr>
        <w:drawing>
          <wp:inline distT="0" distB="0" distL="0" distR="0" wp14:anchorId="2FD2A450" wp14:editId="0C044A33">
            <wp:extent cx="5883910" cy="1709530"/>
            <wp:effectExtent l="0" t="0" r="2540" b="5080"/>
            <wp:docPr id="1356959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5902359" cy="1714890"/>
                    </a:xfrm>
                    <a:prstGeom prst="rect">
                      <a:avLst/>
                    </a:prstGeom>
                  </pic:spPr>
                </pic:pic>
              </a:graphicData>
            </a:graphic>
          </wp:inline>
        </w:drawing>
      </w:r>
    </w:p>
    <w:p w14:paraId="3F5C5D9E" w14:textId="77777777" w:rsidR="00F739C1" w:rsidRPr="00440FA3" w:rsidRDefault="00F739C1" w:rsidP="00F739C1">
      <w:pPr>
        <w:spacing w:before="60" w:after="200"/>
        <w:rPr>
          <w:rFonts w:ascii="Calibri" w:hAnsi="Calibri" w:cs="Calibri"/>
          <w:sz w:val="22"/>
          <w:lang w:val="nl-NL"/>
        </w:rPr>
      </w:pPr>
      <w:r>
        <w:rPr>
          <w:rFonts w:ascii="Calibri" w:hAnsi="Calibri" w:cs="Calibri"/>
          <w:color w:val="595959"/>
          <w:sz w:val="22"/>
          <w:lang w:val="nl-NL"/>
        </w:rPr>
        <w:t>Figuur 1. Het voorgestelde vastrecht van circa €548 is gebaseerd op de vaste net-, leverings- en meetkosten van een gasaansluiting, vermeerderd met de kosten van een afleverset. Het verschil van circa €280 met het huidige maximumtarief vormt een rekenkundige maatstaf voor de nationale warmtebijdrage. De daadwerkelijke compensatie aan warmtebedrijven hangt af van de gereguleerde kosten per warmtenet.</w:t>
      </w:r>
    </w:p>
    <w:p w14:paraId="55803EDA" w14:textId="77777777" w:rsidR="00E4624A" w:rsidRPr="003518F8" w:rsidRDefault="0050320D" w:rsidP="00E4624A">
      <w:pPr>
        <w:pStyle w:val="Kop2"/>
        <w:rPr>
          <w:rFonts w:cs="Calibri"/>
          <w:sz w:val="22"/>
          <w:szCs w:val="22"/>
          <w:lang w:val="nl-NL"/>
        </w:rPr>
      </w:pPr>
      <w:r>
        <w:rPr>
          <w:rFonts w:cs="Calibri"/>
          <w:sz w:val="22"/>
          <w:szCs w:val="22"/>
          <w:lang w:val="nl-NL"/>
        </w:rPr>
        <w:t>D</w:t>
      </w:r>
      <w:r w:rsidR="00E4624A">
        <w:rPr>
          <w:rFonts w:cs="Calibri"/>
          <w:sz w:val="22"/>
          <w:szCs w:val="22"/>
          <w:lang w:val="nl-NL"/>
        </w:rPr>
        <w:t xml:space="preserve">e vastrechtbijdrage </w:t>
      </w:r>
      <w:r>
        <w:rPr>
          <w:rFonts w:cs="Calibri"/>
          <w:sz w:val="22"/>
          <w:szCs w:val="22"/>
          <w:lang w:val="nl-NL"/>
        </w:rPr>
        <w:t>breder organiseren</w:t>
      </w:r>
    </w:p>
    <w:p w14:paraId="33F823D6" w14:textId="77777777" w:rsidR="005A09BC" w:rsidRPr="005A09BC" w:rsidRDefault="005A09BC" w:rsidP="005A09BC">
      <w:pPr>
        <w:spacing w:after="140"/>
        <w:rPr>
          <w:rFonts w:ascii="Calibri" w:hAnsi="Calibri" w:cs="Calibri"/>
          <w:sz w:val="22"/>
          <w:lang w:val="nl-NL"/>
        </w:rPr>
      </w:pPr>
      <w:r w:rsidRPr="005A09BC">
        <w:rPr>
          <w:rFonts w:ascii="Calibri" w:hAnsi="Calibri" w:cs="Calibri"/>
          <w:sz w:val="22"/>
          <w:lang w:val="nl-NL"/>
        </w:rPr>
        <w:t xml:space="preserve">We stellen een vastrecht van </w:t>
      </w:r>
      <w:proofErr w:type="gramStart"/>
      <w:r w:rsidRPr="005A09BC">
        <w:rPr>
          <w:rFonts w:ascii="Calibri" w:hAnsi="Calibri" w:cs="Calibri"/>
          <w:sz w:val="22"/>
          <w:lang w:val="nl-NL"/>
        </w:rPr>
        <w:t>circa</w:t>
      </w:r>
      <w:proofErr w:type="gramEnd"/>
      <w:r w:rsidRPr="005A09BC">
        <w:rPr>
          <w:rFonts w:ascii="Calibri" w:hAnsi="Calibri" w:cs="Calibri"/>
          <w:sz w:val="22"/>
          <w:lang w:val="nl-NL"/>
        </w:rPr>
        <w:t xml:space="preserve"> €548 per jaar voor. Het uitgangspunt is dat een warmteklant voor de vaste onderdelen van zijn energierekening vergelijkbaar zou moeten betalen met een gasklant. </w:t>
      </w:r>
      <w:r w:rsidRPr="005A09BC">
        <w:rPr>
          <w:rFonts w:ascii="Calibri" w:hAnsi="Calibri" w:cs="Calibri"/>
          <w:sz w:val="22"/>
          <w:lang w:val="nl-NL"/>
        </w:rPr>
        <w:lastRenderedPageBreak/>
        <w:t xml:space="preserve">Daarom nemen we de vaste kosten voor netbeheer, levering en meting van gas (€369,15) en tellen daar de kosten van de </w:t>
      </w:r>
      <w:proofErr w:type="spellStart"/>
      <w:r w:rsidRPr="005A09BC">
        <w:rPr>
          <w:rFonts w:ascii="Calibri" w:hAnsi="Calibri" w:cs="Calibri"/>
          <w:sz w:val="22"/>
          <w:lang w:val="nl-NL"/>
        </w:rPr>
        <w:t>afleverset</w:t>
      </w:r>
      <w:proofErr w:type="spellEnd"/>
      <w:r w:rsidRPr="005A09BC">
        <w:rPr>
          <w:rFonts w:ascii="Calibri" w:hAnsi="Calibri" w:cs="Calibri"/>
          <w:sz w:val="22"/>
          <w:lang w:val="nl-NL"/>
        </w:rPr>
        <w:t xml:space="preserve"> (€178,51) bij op.</w:t>
      </w:r>
    </w:p>
    <w:p w14:paraId="51839F22" w14:textId="77777777" w:rsidR="005A09BC" w:rsidRPr="005A09BC" w:rsidRDefault="005A09BC" w:rsidP="005A09BC">
      <w:pPr>
        <w:spacing w:after="140"/>
        <w:rPr>
          <w:rFonts w:ascii="Calibri" w:hAnsi="Calibri" w:cs="Calibri"/>
          <w:sz w:val="22"/>
          <w:lang w:val="nl-NL"/>
        </w:rPr>
      </w:pPr>
      <w:r w:rsidRPr="005A09BC">
        <w:rPr>
          <w:rFonts w:ascii="Calibri" w:hAnsi="Calibri" w:cs="Calibri"/>
          <w:sz w:val="22"/>
          <w:lang w:val="nl-NL"/>
        </w:rPr>
        <w:t xml:space="preserve">Het verschil met het huidige maximum is </w:t>
      </w:r>
      <w:proofErr w:type="gramStart"/>
      <w:r w:rsidRPr="005A09BC">
        <w:rPr>
          <w:rFonts w:ascii="Calibri" w:hAnsi="Calibri" w:cs="Calibri"/>
          <w:sz w:val="22"/>
          <w:lang w:val="nl-NL"/>
        </w:rPr>
        <w:t>circa</w:t>
      </w:r>
      <w:proofErr w:type="gramEnd"/>
      <w:r w:rsidRPr="005A09BC">
        <w:rPr>
          <w:rFonts w:ascii="Calibri" w:hAnsi="Calibri" w:cs="Calibri"/>
          <w:sz w:val="22"/>
          <w:lang w:val="nl-NL"/>
        </w:rPr>
        <w:t xml:space="preserve"> €280 per jaar. Dat is een rekenkundige maatstaf voor de vastrechtbijdrage, geen vaststelling van de werkelijke kosten van een warmtenet. De kosten voor bron, transport en distributie verdwijnen niet: ons voorstel is om een deel daarvan via de nationale warmtebijdrage breder te verdelen. Dat vinden wij redelijk, omdat collectieve warmte ook kosten elders in het energiesysteem kan voorkomen.</w:t>
      </w:r>
    </w:p>
    <w:p w14:paraId="417CC5C0" w14:textId="77777777" w:rsidR="00F739C1" w:rsidRPr="00440FA3" w:rsidRDefault="00F739C1" w:rsidP="00F739C1">
      <w:pPr>
        <w:pStyle w:val="Kop2"/>
        <w:rPr>
          <w:rFonts w:cs="Calibri"/>
          <w:sz w:val="22"/>
          <w:szCs w:val="22"/>
          <w:lang w:val="nl-NL"/>
        </w:rPr>
      </w:pPr>
      <w:r>
        <w:rPr>
          <w:rFonts w:cs="Calibri"/>
          <w:sz w:val="22"/>
          <w:szCs w:val="22"/>
          <w:lang w:val="nl-NL"/>
        </w:rPr>
        <w:t xml:space="preserve">Betaalbaar vastrecht onder </w:t>
      </w:r>
      <w:proofErr w:type="spellStart"/>
      <w:r w:rsidR="007D5C51">
        <w:rPr>
          <w:rFonts w:cs="Calibri"/>
          <w:sz w:val="22"/>
          <w:szCs w:val="22"/>
          <w:lang w:val="nl-NL"/>
        </w:rPr>
        <w:t>kostengebaseerde</w:t>
      </w:r>
      <w:proofErr w:type="spellEnd"/>
      <w:r w:rsidR="007D5C51">
        <w:rPr>
          <w:rFonts w:cs="Calibri"/>
          <w:sz w:val="22"/>
          <w:szCs w:val="22"/>
          <w:lang w:val="nl-NL"/>
        </w:rPr>
        <w:t xml:space="preserve"> tarieven in </w:t>
      </w:r>
      <w:r>
        <w:rPr>
          <w:rFonts w:cs="Calibri"/>
          <w:sz w:val="22"/>
          <w:szCs w:val="22"/>
          <w:lang w:val="nl-NL"/>
        </w:rPr>
        <w:t>fase 2</w:t>
      </w:r>
    </w:p>
    <w:p w14:paraId="6ABB2DE4" w14:textId="77777777" w:rsidR="00F739C1" w:rsidRPr="00764C6D" w:rsidRDefault="00F739C1" w:rsidP="00F739C1">
      <w:pPr>
        <w:spacing w:after="140"/>
        <w:rPr>
          <w:rFonts w:ascii="Calibri" w:hAnsi="Calibri" w:cs="Calibri"/>
          <w:sz w:val="22"/>
          <w:lang w:val="nl-NL"/>
        </w:rPr>
      </w:pPr>
      <w:r>
        <w:rPr>
          <w:rFonts w:ascii="Calibri" w:hAnsi="Calibri" w:cs="Calibri"/>
          <w:sz w:val="22"/>
          <w:lang w:val="nl-NL"/>
        </w:rPr>
        <w:t xml:space="preserve">Onder kostengebaseerde tarieven wordt het betaalbare vastrecht een landelijk maximum voor wat de klant vast betaalt. De bijdrage dekt dan per </w:t>
      </w:r>
      <w:r w:rsidR="006B073B">
        <w:rPr>
          <w:rFonts w:ascii="Calibri" w:hAnsi="Calibri" w:cs="Calibri"/>
          <w:sz w:val="22"/>
          <w:lang w:val="nl-NL"/>
        </w:rPr>
        <w:t>warmte</w:t>
      </w:r>
      <w:r>
        <w:rPr>
          <w:rFonts w:ascii="Calibri" w:hAnsi="Calibri" w:cs="Calibri"/>
          <w:sz w:val="22"/>
          <w:lang w:val="nl-NL"/>
        </w:rPr>
        <w:t>net het verschil tussen de efficiënte vaste kosten, zoals de ACM die vaststelt, en het betaalbare vastrecht. Dat bedrag verschilt per net: nul voor goedkope netten, voor dure netten mogelijk een veelvoud van €280. Voor de landelijke doorrekening hanteren we €280 per aansluiting per jaar als uitgangspunt.</w:t>
      </w:r>
    </w:p>
    <w:p w14:paraId="29DC672F" w14:textId="77777777" w:rsidR="00F739C1" w:rsidRPr="00901B04" w:rsidRDefault="00F739C1" w:rsidP="00F739C1">
      <w:pPr>
        <w:pStyle w:val="Kop1"/>
        <w:rPr>
          <w:rFonts w:cs="Calibri"/>
          <w:sz w:val="22"/>
          <w:szCs w:val="22"/>
          <w:lang w:val="nl-NL"/>
        </w:rPr>
      </w:pPr>
      <w:r>
        <w:rPr>
          <w:rFonts w:cs="Calibri"/>
          <w:sz w:val="22"/>
          <w:szCs w:val="22"/>
          <w:lang w:val="nl-NL"/>
        </w:rPr>
        <w:t>3. Welke kosten moeten</w:t>
      </w:r>
      <w:r w:rsidR="003A0DC9">
        <w:rPr>
          <w:rFonts w:cs="Calibri"/>
          <w:sz w:val="22"/>
          <w:szCs w:val="22"/>
          <w:lang w:val="nl-NL"/>
        </w:rPr>
        <w:t xml:space="preserve"> </w:t>
      </w:r>
      <w:r>
        <w:rPr>
          <w:rFonts w:cs="Calibri"/>
          <w:sz w:val="22"/>
          <w:szCs w:val="22"/>
          <w:lang w:val="nl-NL"/>
        </w:rPr>
        <w:t>collectief worden gefinancierd?</w:t>
      </w:r>
    </w:p>
    <w:p w14:paraId="076F4A5F" w14:textId="77777777" w:rsidR="00F739C1" w:rsidRPr="00B662B1" w:rsidRDefault="00F739C1" w:rsidP="00F739C1">
      <w:pPr>
        <w:spacing w:after="140"/>
        <w:rPr>
          <w:rFonts w:ascii="Calibri" w:hAnsi="Calibri" w:cs="Calibri"/>
          <w:sz w:val="22"/>
          <w:lang w:val="nl-NL"/>
        </w:rPr>
      </w:pPr>
      <w:r>
        <w:rPr>
          <w:rFonts w:ascii="Calibri" w:hAnsi="Calibri" w:cs="Calibri"/>
          <w:sz w:val="22"/>
          <w:lang w:val="nl-NL"/>
        </w:rPr>
        <w:t>De nationale warmtebijdrage moet twee posten dekken die van karakter verschillen. Voor de financiering en de looptijd van de bijdrage moeten deze posten afzonderlijk worden berekend. De vastrechtbijdrage (A) is de structurele kern van de nationale warmtebijdrage. De onrendabele top (B) behandelen we als een aparte, tijdelijke component, met een eigen besluit over omvang en looptijd.</w:t>
      </w:r>
    </w:p>
    <w:p w14:paraId="5384DF40" w14:textId="77777777" w:rsidR="00D91488" w:rsidRPr="00B662B1" w:rsidRDefault="00D91488" w:rsidP="00D91488">
      <w:pPr>
        <w:pStyle w:val="Kop2"/>
        <w:rPr>
          <w:rFonts w:cs="Calibri"/>
          <w:sz w:val="22"/>
          <w:szCs w:val="22"/>
          <w:lang w:val="nl-NL"/>
        </w:rPr>
      </w:pPr>
      <w:r>
        <w:rPr>
          <w:rFonts w:cs="Calibri"/>
          <w:sz w:val="22"/>
          <w:szCs w:val="22"/>
          <w:lang w:val="nl-NL"/>
        </w:rPr>
        <w:t>A. Vastrechtbijdrage: structureel, jaarlijks, voor alle klanten</w:t>
      </w:r>
    </w:p>
    <w:p w14:paraId="2B7571B1" w14:textId="77777777" w:rsidR="00F739C1" w:rsidRPr="00B662B1" w:rsidRDefault="00F739C1" w:rsidP="00F739C1">
      <w:pPr>
        <w:spacing w:after="140"/>
        <w:rPr>
          <w:rFonts w:ascii="Calibri" w:hAnsi="Calibri" w:cs="Calibri"/>
          <w:sz w:val="22"/>
          <w:lang w:val="nl-NL"/>
        </w:rPr>
      </w:pPr>
      <w:r>
        <w:rPr>
          <w:rFonts w:ascii="Calibri" w:hAnsi="Calibri" w:cs="Calibri"/>
          <w:sz w:val="22"/>
          <w:lang w:val="nl-NL"/>
        </w:rPr>
        <w:t xml:space="preserve">Als het vaste deel omlaag gaat naar het betaalbare vastrecht, geldt dat voor alle warmteklanten en niet alleen voor nieuwe. Anders ontstaan twee tariefklassen voor dezelfde dienst. Het gaat om ruim 700.000 huishoudens, op </w:t>
      </w:r>
      <w:proofErr w:type="gramStart"/>
      <w:r>
        <w:rPr>
          <w:rFonts w:ascii="Calibri" w:hAnsi="Calibri" w:cs="Calibri"/>
          <w:sz w:val="22"/>
          <w:lang w:val="nl-NL"/>
        </w:rPr>
        <w:t>circa</w:t>
      </w:r>
      <w:proofErr w:type="gramEnd"/>
      <w:r>
        <w:rPr>
          <w:rFonts w:ascii="Calibri" w:hAnsi="Calibri" w:cs="Calibri"/>
          <w:sz w:val="22"/>
          <w:lang w:val="nl-NL"/>
        </w:rPr>
        <w:t xml:space="preserve"> 557.000 aansluitingen van vergunninghoudende warmteleveranciers (eind 2024). [15] Bij €280 per huishouden is dat €196 miljoen per jaar. Na 500.000 extra aansluitingen loopt dat op naar €336 miljoen per jaar. Deze post is structureel: hij blijft bestaan zolang het betaalbare vastrecht onder de kosten ligt.</w:t>
      </w:r>
    </w:p>
    <w:p w14:paraId="53976C2A" w14:textId="77777777" w:rsidR="00F739C1" w:rsidRPr="00B662B1" w:rsidRDefault="00F739C1" w:rsidP="00F739C1">
      <w:pPr>
        <w:pStyle w:val="Kop2"/>
        <w:rPr>
          <w:rFonts w:cs="Calibri"/>
          <w:sz w:val="22"/>
          <w:szCs w:val="22"/>
          <w:lang w:val="nl-NL"/>
        </w:rPr>
      </w:pPr>
      <w:r>
        <w:rPr>
          <w:rFonts w:cs="Calibri"/>
          <w:sz w:val="22"/>
          <w:szCs w:val="22"/>
          <w:lang w:val="nl-NL"/>
        </w:rPr>
        <w:t>B. Onrendabele top: eenmalig, per nieuwe aansluiting</w:t>
      </w:r>
    </w:p>
    <w:p w14:paraId="731D716E" w14:textId="5FF027E4" w:rsidR="00F739C1" w:rsidRPr="00B662B1" w:rsidRDefault="00F739C1" w:rsidP="00F739C1">
      <w:pPr>
        <w:spacing w:after="140"/>
        <w:rPr>
          <w:rFonts w:ascii="Calibri" w:hAnsi="Calibri" w:cs="Calibri"/>
          <w:sz w:val="22"/>
          <w:lang w:val="nl-NL"/>
        </w:rPr>
      </w:pPr>
      <w:r>
        <w:rPr>
          <w:rFonts w:ascii="Calibri" w:hAnsi="Calibri" w:cs="Calibri"/>
          <w:sz w:val="22"/>
          <w:lang w:val="nl-NL"/>
        </w:rPr>
        <w:t xml:space="preserve">Nieuwe aansluitingen hebben daarnaast een onrendabele top. Bestaande subsidieregelingen dekken daarvan een deel, maar niet structureel en niet op een schaal die een hoger aansluittempo kan dragen. </w:t>
      </w:r>
      <w:proofErr w:type="spellStart"/>
      <w:r w:rsidR="00340B56">
        <w:rPr>
          <w:rFonts w:ascii="Calibri" w:hAnsi="Calibri" w:cs="Calibri"/>
          <w:sz w:val="22"/>
          <w:lang w:val="nl-NL"/>
        </w:rPr>
        <w:t>Fakton</w:t>
      </w:r>
      <w:proofErr w:type="spellEnd"/>
      <w:r w:rsidR="00340B56">
        <w:rPr>
          <w:rFonts w:ascii="Calibri" w:hAnsi="Calibri" w:cs="Calibri"/>
          <w:sz w:val="22"/>
          <w:lang w:val="nl-NL"/>
        </w:rPr>
        <w:t xml:space="preserve"> Energy</w:t>
      </w:r>
      <w:r>
        <w:rPr>
          <w:rFonts w:ascii="Calibri" w:hAnsi="Calibri" w:cs="Calibri"/>
          <w:sz w:val="22"/>
          <w:lang w:val="nl-NL"/>
        </w:rPr>
        <w:t xml:space="preserve"> reken</w:t>
      </w:r>
      <w:r w:rsidR="00340B56">
        <w:rPr>
          <w:rFonts w:ascii="Calibri" w:hAnsi="Calibri" w:cs="Calibri"/>
          <w:sz w:val="22"/>
          <w:lang w:val="nl-NL"/>
        </w:rPr>
        <w:t>t</w:t>
      </w:r>
      <w:r>
        <w:rPr>
          <w:rFonts w:ascii="Calibri" w:hAnsi="Calibri" w:cs="Calibri"/>
          <w:sz w:val="22"/>
          <w:lang w:val="nl-NL"/>
        </w:rPr>
        <w:t xml:space="preserve"> daarom met </w:t>
      </w:r>
      <w:r>
        <w:rPr>
          <w:rFonts w:ascii="Calibri" w:hAnsi="Calibri" w:cs="Calibri"/>
          <w:b/>
          <w:bCs/>
          <w:sz w:val="22"/>
          <w:lang w:val="nl-NL"/>
        </w:rPr>
        <w:t xml:space="preserve">€10.000 per aansluiting </w:t>
      </w:r>
      <w:proofErr w:type="gramStart"/>
      <w:r>
        <w:rPr>
          <w:rFonts w:ascii="Calibri" w:hAnsi="Calibri" w:cs="Calibri"/>
          <w:b/>
          <w:bCs/>
          <w:sz w:val="22"/>
          <w:lang w:val="nl-NL"/>
        </w:rPr>
        <w:t>bovenop</w:t>
      </w:r>
      <w:proofErr w:type="gramEnd"/>
      <w:r>
        <w:rPr>
          <w:rFonts w:ascii="Calibri" w:hAnsi="Calibri" w:cs="Calibri"/>
          <w:b/>
          <w:bCs/>
          <w:sz w:val="22"/>
          <w:lang w:val="nl-NL"/>
        </w:rPr>
        <w:t xml:space="preserve"> de bestaande regelingen</w:t>
      </w:r>
      <w:r>
        <w:rPr>
          <w:rFonts w:ascii="Calibri" w:hAnsi="Calibri" w:cs="Calibri"/>
          <w:sz w:val="22"/>
          <w:lang w:val="nl-NL"/>
        </w:rPr>
        <w:t>. Dat bedrag is bedoeld voor twee dingen: het resterende tekort van het warmtebedrijf op de aansluiting en de noodzakelijke aanpassingen in de woning. Het is een aanname op basis van onze projectpraktijk en eerder aan de lage kant. Elke €5.000 extra per aansluiting kost bij 30.000 aansluitingen per jaar €150 miljoen, circa €1,50 per huishouden per maand.</w:t>
      </w:r>
    </w:p>
    <w:p w14:paraId="4B95718F" w14:textId="77777777" w:rsidR="00F739C1" w:rsidRPr="00440FA3" w:rsidRDefault="00F739C1" w:rsidP="00F739C1">
      <w:pPr>
        <w:spacing w:after="140"/>
        <w:rPr>
          <w:rFonts w:ascii="Calibri" w:hAnsi="Calibri" w:cs="Calibri"/>
          <w:sz w:val="22"/>
          <w:lang w:val="nl-NL"/>
        </w:rPr>
      </w:pPr>
      <w:r>
        <w:rPr>
          <w:rFonts w:ascii="Calibri" w:hAnsi="Calibri" w:cs="Calibri"/>
          <w:sz w:val="22"/>
          <w:lang w:val="nl-NL"/>
        </w:rPr>
        <w:t xml:space="preserve">We kiezen voor een </w:t>
      </w:r>
      <w:r>
        <w:rPr>
          <w:rFonts w:ascii="Calibri" w:hAnsi="Calibri" w:cs="Calibri"/>
          <w:b/>
          <w:bCs/>
          <w:sz w:val="22"/>
          <w:lang w:val="nl-NL"/>
        </w:rPr>
        <w:t>jaarlijkse omslag</w:t>
      </w:r>
      <w:r>
        <w:rPr>
          <w:rFonts w:ascii="Calibri" w:hAnsi="Calibri" w:cs="Calibri"/>
          <w:sz w:val="22"/>
          <w:lang w:val="nl-NL"/>
        </w:rPr>
        <w:t xml:space="preserve">: de bijdrage dekt per jaar het aantal nieuwe aansluitingen × €10.000. De omvang volgt direct uit de ambitie, is jaarlijks bij te stellen en loopt vanzelf af als het aansluittempo daalt. Er ontstaat geen fonds dat blijft vollopen nadat het doel is bereikt. </w:t>
      </w:r>
      <w:r w:rsidR="00633FA2">
        <w:rPr>
          <w:rFonts w:ascii="Calibri" w:hAnsi="Calibri" w:cs="Calibri"/>
          <w:sz w:val="22"/>
          <w:lang w:val="nl-NL"/>
        </w:rPr>
        <w:t>Bijlage 1 werkt de annuïteit uit als variant, omdat die de bijdrage in de beginjaren fors verlaagt.</w:t>
      </w:r>
      <w:r>
        <w:rPr>
          <w:rFonts w:ascii="Calibri" w:hAnsi="Calibri" w:cs="Calibri"/>
          <w:sz w:val="22"/>
          <w:lang w:val="nl-NL"/>
        </w:rPr>
        <w:t xml:space="preserve"> Anders dan de vastrechtbijdrage wordt deze financiering per project toegekend: alleen waar collectieve warmte aantoonbaar maatschappelijke voordelen biedt en na toetsing op efficiënte kosten. Als route ligt een </w:t>
      </w:r>
      <w:r>
        <w:rPr>
          <w:rFonts w:ascii="Calibri" w:hAnsi="Calibri" w:cs="Calibri"/>
          <w:sz w:val="22"/>
          <w:lang w:val="nl-NL"/>
        </w:rPr>
        <w:lastRenderedPageBreak/>
        <w:t>tijdelijke opslag op dezelfde heffing voor de hand</w:t>
      </w:r>
      <w:r w:rsidR="006F3746">
        <w:rPr>
          <w:rFonts w:ascii="Calibri" w:hAnsi="Calibri" w:cs="Calibri"/>
          <w:sz w:val="22"/>
          <w:lang w:val="nl-NL"/>
        </w:rPr>
        <w:t>,</w:t>
      </w:r>
      <w:r>
        <w:rPr>
          <w:rFonts w:ascii="Calibri" w:hAnsi="Calibri" w:cs="Calibri"/>
          <w:sz w:val="22"/>
          <w:lang w:val="nl-NL"/>
        </w:rPr>
        <w:t xml:space="preserve"> een ophoging van de Warmtenetten Investeringssubsidie (WIS) is een alternatief.</w:t>
      </w:r>
    </w:p>
    <w:p w14:paraId="3F326AAB" w14:textId="77777777" w:rsidR="00FC5C9B" w:rsidRPr="00FC5C9B" w:rsidRDefault="00FC5C9B" w:rsidP="00FC5C9B">
      <w:pPr>
        <w:spacing w:after="140"/>
        <w:rPr>
          <w:rFonts w:ascii="Calibri" w:hAnsi="Calibri" w:cs="Calibri"/>
          <w:i/>
          <w:iCs/>
          <w:sz w:val="22"/>
          <w:lang w:val="nl-NL"/>
        </w:rPr>
      </w:pPr>
      <w:r>
        <w:rPr>
          <w:rFonts w:ascii="Calibri" w:hAnsi="Calibri" w:cs="Calibri"/>
          <w:b/>
          <w:bCs/>
          <w:i/>
          <w:iCs/>
          <w:sz w:val="22"/>
          <w:lang w:val="nl-NL"/>
        </w:rPr>
        <w:t>Voorkomen van dubbeltelling.</w:t>
      </w:r>
      <w:r>
        <w:rPr>
          <w:rFonts w:ascii="Calibri" w:hAnsi="Calibri" w:cs="Calibri"/>
          <w:i/>
          <w:iCs/>
          <w:sz w:val="22"/>
          <w:lang w:val="nl-NL"/>
        </w:rPr>
        <w:t xml:space="preserve"> De vastrechtbijdrage (A) en de onrendabele top (B) dekken verschillende kosten. We gaan ervan uit dat de onrendabele top van €10.000 per nieuwe aansluiting is bepaald ná verwerking van de vastrechtbijdrage en bestaande subsidies.</w:t>
      </w:r>
    </w:p>
    <w:p w14:paraId="0C32F54C" w14:textId="77777777" w:rsidR="00F739C1" w:rsidRDefault="00F739C1" w:rsidP="00F739C1">
      <w:pPr>
        <w:pStyle w:val="Kop1"/>
        <w:rPr>
          <w:rFonts w:cs="Calibri"/>
          <w:sz w:val="22"/>
          <w:szCs w:val="22"/>
          <w:lang w:val="nl-NL"/>
        </w:rPr>
      </w:pPr>
      <w:r>
        <w:rPr>
          <w:rFonts w:cs="Calibri"/>
          <w:sz w:val="22"/>
          <w:szCs w:val="22"/>
          <w:lang w:val="nl-NL"/>
        </w:rPr>
        <w:t>4. Wat kost betaalbare collectieve warmte?</w:t>
      </w:r>
    </w:p>
    <w:p w14:paraId="19F9098D" w14:textId="77777777" w:rsidR="001B33EE" w:rsidRPr="001B33EE" w:rsidRDefault="001B33EE" w:rsidP="001B33EE">
      <w:pPr>
        <w:rPr>
          <w:lang w:val="nl-NL"/>
        </w:rPr>
      </w:pPr>
    </w:p>
    <w:p w14:paraId="01F02EC2" w14:textId="77777777" w:rsidR="00F3298E" w:rsidRPr="00F3298E" w:rsidRDefault="00F3298E" w:rsidP="00F3298E">
      <w:pPr>
        <w:spacing w:after="140"/>
        <w:rPr>
          <w:rFonts w:ascii="Calibri" w:hAnsi="Calibri" w:cs="Calibri"/>
          <w:sz w:val="22"/>
          <w:lang w:val="nl-NL"/>
        </w:rPr>
      </w:pPr>
      <w:r>
        <w:rPr>
          <w:rFonts w:ascii="Calibri" w:hAnsi="Calibri" w:cs="Calibri"/>
          <w:sz w:val="22"/>
          <w:lang w:val="nl-NL"/>
        </w:rPr>
        <w:t xml:space="preserve">Volgens de Startanalyse 2026 van het PBL hebben warmtenetten met een midden- of hogetemperatuurbron voor </w:t>
      </w:r>
      <w:proofErr w:type="gramStart"/>
      <w:r>
        <w:rPr>
          <w:rFonts w:ascii="Calibri" w:hAnsi="Calibri" w:cs="Calibri"/>
          <w:sz w:val="22"/>
          <w:lang w:val="nl-NL"/>
        </w:rPr>
        <w:t>circa</w:t>
      </w:r>
      <w:proofErr w:type="gramEnd"/>
      <w:r>
        <w:rPr>
          <w:rFonts w:ascii="Calibri" w:hAnsi="Calibri" w:cs="Calibri"/>
          <w:sz w:val="22"/>
          <w:lang w:val="nl-NL"/>
        </w:rPr>
        <w:t xml:space="preserve"> 2,3 miljoen aansluitingen de laagste nationale kosten, ongeveer 27% van het totaal. Met warmtenetten op een (zeer)lagetemperatuurbron erbij gaat het om circa 3 miljoen aansluitingen, ongeveer 35%. Voor circa 1,2 miljoen van de 2,3 miljoen MT/HT-aansluitingen is het kostenverschil met een andere warmteoptie kleiner dan 20%. In dat segment liggen de maatschappelijke kosten van een warmtenet dicht bij die van alternatieven en kan de hoogte van het vastrecht bepalen of huishoudens voor collectieve warmte kiezen. Er is dus een aanzienlijk potentieel voor collectieve warmte, maar de uitkomsten vragen om lokale toetsing van onder meer warmtebronnen, infrastructuur en gebouwkenmerken. [11]</w:t>
      </w:r>
    </w:p>
    <w:p w14:paraId="55291CB2" w14:textId="2ED50452" w:rsidR="00F739C1" w:rsidRPr="00440FA3" w:rsidRDefault="002F7144" w:rsidP="00F739C1">
      <w:pPr>
        <w:spacing w:after="140"/>
        <w:rPr>
          <w:rFonts w:ascii="Calibri" w:hAnsi="Calibri" w:cs="Calibri"/>
          <w:sz w:val="22"/>
          <w:lang w:val="nl-NL"/>
        </w:rPr>
      </w:pPr>
      <w:r>
        <w:rPr>
          <w:rFonts w:ascii="Calibri" w:hAnsi="Calibri" w:cs="Calibri"/>
          <w:sz w:val="22"/>
          <w:lang w:val="nl-NL"/>
        </w:rPr>
        <w:t xml:space="preserve">Warmtenetten zijn vooral kansrijk in dichtbebouwd gebied met veel gestapelde bouw, relatief slecht geïsoleerde bestaande woningen en nieuwbouw in de stad. Van de appartementen heeft nu 12,4% stadswarmte, tegenover 1,0% van de vrijstaande woningen. Van de woningen die vanaf 2015 zijn gebouwd heeft 20,2% stadswarmte. [6] De nabijheid van een bestaand net of een MT/HT-bron is minstens zo bepalend, maar daarvan bestaat geen landelijk beeld. </w:t>
      </w:r>
    </w:p>
    <w:p w14:paraId="71920DB0" w14:textId="77777777" w:rsidR="004151C5" w:rsidRPr="004151C5" w:rsidRDefault="004151C5" w:rsidP="00F739C1">
      <w:pPr>
        <w:keepNext/>
        <w:spacing w:after="140"/>
        <w:rPr>
          <w:rFonts w:ascii="Calibri" w:eastAsiaTheme="majorEastAsia" w:hAnsi="Calibri" w:cs="Calibri"/>
          <w:b/>
          <w:color w:val="4A6DA7"/>
          <w:sz w:val="22"/>
          <w:lang w:val="nl-NL"/>
        </w:rPr>
      </w:pPr>
      <w:r>
        <w:rPr>
          <w:rFonts w:ascii="Calibri" w:eastAsiaTheme="majorEastAsia" w:hAnsi="Calibri" w:cs="Calibri"/>
          <w:b/>
          <w:color w:val="4A6DA7"/>
          <w:sz w:val="22"/>
          <w:lang w:val="nl-NL"/>
        </w:rPr>
        <w:t>Financieringsbehoefte bij verschillende aansluittempo's</w:t>
      </w:r>
    </w:p>
    <w:p w14:paraId="0B240AC2" w14:textId="3539DB64" w:rsidR="00F739C1" w:rsidRPr="00440FA3" w:rsidRDefault="00F739C1" w:rsidP="00F739C1">
      <w:pPr>
        <w:keepNext/>
        <w:spacing w:after="140"/>
        <w:rPr>
          <w:rFonts w:ascii="Calibri" w:hAnsi="Calibri" w:cs="Calibri"/>
          <w:sz w:val="22"/>
          <w:lang w:val="nl-NL"/>
        </w:rPr>
      </w:pPr>
      <w:r>
        <w:rPr>
          <w:rFonts w:ascii="Calibri" w:hAnsi="Calibri" w:cs="Calibri"/>
          <w:sz w:val="22"/>
          <w:lang w:val="nl-NL"/>
        </w:rPr>
        <w:t xml:space="preserve">De tabel toont beide posten en de omslag over </w:t>
      </w:r>
      <w:proofErr w:type="gramStart"/>
      <w:r>
        <w:rPr>
          <w:rFonts w:ascii="Calibri" w:hAnsi="Calibri" w:cs="Calibri"/>
          <w:sz w:val="22"/>
          <w:lang w:val="nl-NL"/>
        </w:rPr>
        <w:t>circa</w:t>
      </w:r>
      <w:proofErr w:type="gramEnd"/>
      <w:r>
        <w:rPr>
          <w:rFonts w:ascii="Calibri" w:hAnsi="Calibri" w:cs="Calibri"/>
          <w:sz w:val="22"/>
          <w:lang w:val="nl-NL"/>
        </w:rPr>
        <w:t xml:space="preserve"> 8,5 miljoen huishoudelijke elektriciteitsaansluitingen [7]. We tonen die bij de start (met het bestaande bestand van ruim </w:t>
      </w:r>
      <w:r w:rsidR="004A4D0A">
        <w:rPr>
          <w:rFonts w:ascii="Calibri" w:hAnsi="Calibri" w:cs="Calibri"/>
          <w:sz w:val="22"/>
          <w:lang w:val="nl-NL"/>
        </w:rPr>
        <w:t xml:space="preserve">700.000 </w:t>
      </w:r>
      <w:r>
        <w:rPr>
          <w:rFonts w:ascii="Calibri" w:hAnsi="Calibri" w:cs="Calibri"/>
          <w:sz w:val="22"/>
          <w:lang w:val="nl-NL"/>
        </w:rPr>
        <w:t>huishoudens) en na tien jaar aansluiten in hetzelfde tempo. De omslag per maand tonen we voor de structurele vastrechtbijdrage alleen (A) en inclusief de tijdelijke onrendabele top (A + 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00"/>
        <w:gridCol w:w="1950"/>
        <w:gridCol w:w="1950"/>
        <w:gridCol w:w="2260"/>
      </w:tblGrid>
      <w:tr w:rsidR="00F739C1" w:rsidRPr="00583771" w14:paraId="13F2FF11" w14:textId="77777777" w:rsidTr="00F04BD9">
        <w:trPr>
          <w:cantSplit/>
          <w:tblHeader/>
        </w:trPr>
        <w:tc>
          <w:tcPr>
            <w:tcW w:w="15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00BD64A9" w14:textId="77777777" w:rsidR="00F739C1" w:rsidRPr="00440FA3" w:rsidRDefault="00F739C1" w:rsidP="00F04BD9">
            <w:pPr>
              <w:keepNext/>
              <w:rPr>
                <w:rFonts w:ascii="Calibri" w:hAnsi="Calibri" w:cs="Calibri"/>
                <w:sz w:val="22"/>
              </w:rPr>
            </w:pPr>
            <w:r>
              <w:rPr>
                <w:rFonts w:ascii="Calibri" w:hAnsi="Calibri" w:cs="Calibri"/>
                <w:b/>
                <w:bCs/>
                <w:sz w:val="22"/>
              </w:rPr>
              <w:t>Nieuwe aansluitingen per jaar</w:t>
            </w:r>
          </w:p>
        </w:tc>
        <w:tc>
          <w:tcPr>
            <w:tcW w:w="17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7CCB5300" w14:textId="77777777" w:rsidR="00F739C1" w:rsidRPr="00440FA3" w:rsidRDefault="00F739C1" w:rsidP="00F04BD9">
            <w:pPr>
              <w:keepNext/>
              <w:rPr>
                <w:rFonts w:ascii="Calibri" w:hAnsi="Calibri" w:cs="Calibri"/>
                <w:sz w:val="22"/>
                <w:lang w:val="nl-NL"/>
              </w:rPr>
            </w:pPr>
            <w:r>
              <w:rPr>
                <w:rFonts w:ascii="Calibri" w:hAnsi="Calibri" w:cs="Calibri"/>
                <w:b/>
                <w:bCs/>
                <w:sz w:val="22"/>
                <w:lang w:val="nl-NL"/>
              </w:rPr>
              <w:t>Onrendabele top (B) per jaar</w:t>
            </w:r>
          </w:p>
        </w:tc>
        <w:tc>
          <w:tcPr>
            <w:tcW w:w="195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1F3C1C44" w14:textId="77777777" w:rsidR="00F739C1" w:rsidRPr="00440FA3" w:rsidRDefault="00F739C1" w:rsidP="00F04BD9">
            <w:pPr>
              <w:keepNext/>
              <w:rPr>
                <w:rFonts w:ascii="Calibri" w:hAnsi="Calibri" w:cs="Calibri"/>
                <w:sz w:val="22"/>
                <w:lang w:val="nl-NL"/>
              </w:rPr>
            </w:pPr>
            <w:r>
              <w:rPr>
                <w:rFonts w:ascii="Calibri" w:hAnsi="Calibri" w:cs="Calibri"/>
                <w:b/>
                <w:bCs/>
                <w:sz w:val="22"/>
                <w:lang w:val="nl-NL"/>
              </w:rPr>
              <w:t>Vastrechtbijdrage (A) start → na 10 jaar</w:t>
            </w:r>
          </w:p>
        </w:tc>
        <w:tc>
          <w:tcPr>
            <w:tcW w:w="195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6015260E" w14:textId="07A24B19" w:rsidR="00F739C1" w:rsidRPr="00440FA3" w:rsidRDefault="00F739C1" w:rsidP="00F04BD9">
            <w:pPr>
              <w:keepNext/>
              <w:rPr>
                <w:rFonts w:ascii="Calibri" w:hAnsi="Calibri" w:cs="Calibri"/>
                <w:sz w:val="22"/>
                <w:lang w:val="nl-NL"/>
              </w:rPr>
            </w:pPr>
            <w:r>
              <w:rPr>
                <w:rFonts w:ascii="Calibri" w:hAnsi="Calibri" w:cs="Calibri"/>
                <w:b/>
                <w:bCs/>
                <w:sz w:val="22"/>
                <w:lang w:val="nl-NL"/>
              </w:rPr>
              <w:t>Per E-aansluiting per maand, alleen A (start → na 10 jaar)</w:t>
            </w:r>
          </w:p>
        </w:tc>
        <w:tc>
          <w:tcPr>
            <w:tcW w:w="22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2661E09F" w14:textId="7827A14C" w:rsidR="00F739C1" w:rsidRPr="00440FA3" w:rsidRDefault="00F739C1" w:rsidP="00F04BD9">
            <w:pPr>
              <w:keepNext/>
              <w:rPr>
                <w:rFonts w:ascii="Calibri" w:hAnsi="Calibri" w:cs="Calibri"/>
                <w:sz w:val="22"/>
                <w:lang w:val="nl-NL"/>
              </w:rPr>
            </w:pPr>
            <w:r>
              <w:rPr>
                <w:rFonts w:ascii="Calibri" w:hAnsi="Calibri" w:cs="Calibri"/>
                <w:b/>
                <w:bCs/>
                <w:sz w:val="22"/>
                <w:lang w:val="nl-NL"/>
              </w:rPr>
              <w:t>Per E-aansluiting per maand, A + B (start → na 10 jaar)</w:t>
            </w:r>
          </w:p>
        </w:tc>
      </w:tr>
      <w:tr w:rsidR="00FE03CB" w:rsidRPr="00583771" w14:paraId="073EAE01" w14:textId="77777777">
        <w:trPr>
          <w:cantSplit/>
        </w:trPr>
        <w:tc>
          <w:tcPr>
            <w:tcW w:w="9360" w:type="dxa"/>
            <w:gridSpan w:val="5"/>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6C2FF7B4" w14:textId="77777777" w:rsidR="00FE03CB" w:rsidRPr="008B1BEA" w:rsidRDefault="00DB7A8C">
            <w:pPr>
              <w:keepNext/>
              <w:rPr>
                <w:rFonts w:ascii="Calibri" w:hAnsi="Calibri" w:cs="Calibri"/>
                <w:sz w:val="22"/>
                <w:lang w:val="nl-NL"/>
              </w:rPr>
            </w:pPr>
            <w:r>
              <w:rPr>
                <w:rFonts w:ascii="Calibri" w:hAnsi="Calibri" w:cs="Calibri"/>
                <w:b/>
                <w:bCs/>
                <w:i/>
                <w:iCs/>
                <w:sz w:val="22"/>
                <w:lang w:val="nl-NL"/>
              </w:rPr>
              <w:t>Basis: onrendabele top direct omgeslagen (jaarlijkse omslag)</w:t>
            </w:r>
          </w:p>
        </w:tc>
      </w:tr>
      <w:tr w:rsidR="00F739C1" w:rsidRPr="00440FA3" w14:paraId="3FEA6067" w14:textId="77777777" w:rsidTr="00F04BD9">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AA6085A" w14:textId="77777777" w:rsidR="00F739C1" w:rsidRPr="00440FA3" w:rsidRDefault="00F739C1" w:rsidP="00F04BD9">
            <w:pPr>
              <w:keepNext/>
              <w:rPr>
                <w:rFonts w:ascii="Calibri" w:hAnsi="Calibri" w:cs="Calibri"/>
                <w:sz w:val="22"/>
              </w:rPr>
            </w:pPr>
            <w:r>
              <w:rPr>
                <w:rFonts w:ascii="Calibri" w:hAnsi="Calibri" w:cs="Calibri"/>
                <w:sz w:val="22"/>
              </w:rPr>
              <w:t>10.000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E9B09B6" w14:textId="77777777" w:rsidR="00F739C1" w:rsidRPr="00440FA3" w:rsidRDefault="00F739C1" w:rsidP="00F04BD9">
            <w:pPr>
              <w:keepNext/>
              <w:jc w:val="right"/>
              <w:rPr>
                <w:rFonts w:ascii="Calibri" w:hAnsi="Calibri" w:cs="Calibri"/>
                <w:sz w:val="22"/>
              </w:rPr>
            </w:pPr>
            <w:r>
              <w:rPr>
                <w:rFonts w:ascii="Calibri" w:hAnsi="Calibri" w:cs="Calibri"/>
                <w:sz w:val="22"/>
              </w:rPr>
              <w:t>€100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CD05A9E" w14:textId="77777777" w:rsidR="00F739C1" w:rsidRPr="00440FA3" w:rsidRDefault="00F739C1" w:rsidP="00F04BD9">
            <w:pPr>
              <w:keepNext/>
              <w:jc w:val="right"/>
              <w:rPr>
                <w:rFonts w:ascii="Calibri" w:hAnsi="Calibri" w:cs="Calibri"/>
                <w:sz w:val="22"/>
              </w:rPr>
            </w:pPr>
            <w:r>
              <w:rPr>
                <w:rFonts w:ascii="Calibri" w:hAnsi="Calibri" w:cs="Calibri"/>
                <w:sz w:val="22"/>
              </w:rPr>
              <w:t>€196 → €224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312E86" w14:textId="2363C8B0" w:rsidR="00F739C1" w:rsidRPr="00440FA3" w:rsidRDefault="00F739C1" w:rsidP="00F04BD9">
            <w:pPr>
              <w:keepNext/>
              <w:jc w:val="right"/>
              <w:rPr>
                <w:rFonts w:ascii="Calibri" w:hAnsi="Calibri" w:cs="Calibri"/>
                <w:sz w:val="22"/>
              </w:rPr>
            </w:pPr>
            <w:r>
              <w:rPr>
                <w:rFonts w:ascii="Calibri" w:hAnsi="Calibri" w:cs="Calibri"/>
                <w:sz w:val="22"/>
              </w:rPr>
              <w:t>€1,92 → €2,20</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9D29D54" w14:textId="77777777" w:rsidR="00F739C1" w:rsidRPr="00440FA3" w:rsidRDefault="00F739C1" w:rsidP="00F04BD9">
            <w:pPr>
              <w:keepNext/>
              <w:jc w:val="right"/>
              <w:rPr>
                <w:rFonts w:ascii="Calibri" w:hAnsi="Calibri" w:cs="Calibri"/>
                <w:sz w:val="22"/>
              </w:rPr>
            </w:pPr>
            <w:r>
              <w:rPr>
                <w:rFonts w:ascii="Calibri" w:hAnsi="Calibri" w:cs="Calibri"/>
                <w:sz w:val="22"/>
              </w:rPr>
              <w:t>€2,90 → €3,18</w:t>
            </w:r>
          </w:p>
        </w:tc>
      </w:tr>
      <w:tr w:rsidR="00F739C1" w:rsidRPr="00440FA3" w14:paraId="6453AAE9" w14:textId="77777777" w:rsidTr="00F04BD9">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D8134CC" w14:textId="77777777" w:rsidR="00F739C1" w:rsidRPr="00440FA3" w:rsidRDefault="00F739C1" w:rsidP="00F04BD9">
            <w:pPr>
              <w:keepNext/>
              <w:rPr>
                <w:rFonts w:ascii="Calibri" w:hAnsi="Calibri" w:cs="Calibri"/>
                <w:sz w:val="22"/>
              </w:rPr>
            </w:pPr>
            <w:r>
              <w:rPr>
                <w:rFonts w:ascii="Calibri" w:hAnsi="Calibri" w:cs="Calibri"/>
                <w:sz w:val="22"/>
              </w:rPr>
              <w:t>20.000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0D346BD" w14:textId="77777777" w:rsidR="00F739C1" w:rsidRPr="00440FA3" w:rsidRDefault="00F739C1" w:rsidP="00F04BD9">
            <w:pPr>
              <w:keepNext/>
              <w:jc w:val="right"/>
              <w:rPr>
                <w:rFonts w:ascii="Calibri" w:hAnsi="Calibri" w:cs="Calibri"/>
                <w:sz w:val="22"/>
              </w:rPr>
            </w:pPr>
            <w:r>
              <w:rPr>
                <w:rFonts w:ascii="Calibri" w:hAnsi="Calibri" w:cs="Calibri"/>
                <w:sz w:val="22"/>
              </w:rPr>
              <w:t>€200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44D5EDB" w14:textId="77777777" w:rsidR="00F739C1" w:rsidRPr="00440FA3" w:rsidRDefault="00F739C1" w:rsidP="00F04BD9">
            <w:pPr>
              <w:keepNext/>
              <w:jc w:val="right"/>
              <w:rPr>
                <w:rFonts w:ascii="Calibri" w:hAnsi="Calibri" w:cs="Calibri"/>
                <w:sz w:val="22"/>
              </w:rPr>
            </w:pPr>
            <w:r>
              <w:rPr>
                <w:rFonts w:ascii="Calibri" w:hAnsi="Calibri" w:cs="Calibri"/>
                <w:sz w:val="22"/>
              </w:rPr>
              <w:t>€196 → €252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73CD91D" w14:textId="4616C6F4" w:rsidR="00F739C1" w:rsidRPr="00440FA3" w:rsidRDefault="00F739C1" w:rsidP="00F04BD9">
            <w:pPr>
              <w:keepNext/>
              <w:jc w:val="right"/>
              <w:rPr>
                <w:rFonts w:ascii="Calibri" w:hAnsi="Calibri" w:cs="Calibri"/>
                <w:sz w:val="22"/>
              </w:rPr>
            </w:pPr>
            <w:r>
              <w:rPr>
                <w:rFonts w:ascii="Calibri" w:hAnsi="Calibri" w:cs="Calibri"/>
                <w:sz w:val="22"/>
              </w:rPr>
              <w:t>€1,92 → €2,47</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46225DF" w14:textId="77777777" w:rsidR="00F739C1" w:rsidRPr="00440FA3" w:rsidRDefault="00F739C1" w:rsidP="00F04BD9">
            <w:pPr>
              <w:keepNext/>
              <w:jc w:val="right"/>
              <w:rPr>
                <w:rFonts w:ascii="Calibri" w:hAnsi="Calibri" w:cs="Calibri"/>
                <w:sz w:val="22"/>
              </w:rPr>
            </w:pPr>
            <w:r>
              <w:rPr>
                <w:rFonts w:ascii="Calibri" w:hAnsi="Calibri" w:cs="Calibri"/>
                <w:sz w:val="22"/>
              </w:rPr>
              <w:t>€3,88 → €4,43</w:t>
            </w:r>
          </w:p>
        </w:tc>
      </w:tr>
      <w:tr w:rsidR="00F739C1" w:rsidRPr="00440FA3" w14:paraId="6DC2EDF2" w14:textId="77777777" w:rsidTr="00F04BD9">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8D090BF" w14:textId="77777777" w:rsidR="00F739C1" w:rsidRPr="00440FA3" w:rsidRDefault="00F739C1" w:rsidP="00F04BD9">
            <w:pPr>
              <w:keepNext/>
              <w:rPr>
                <w:rFonts w:ascii="Calibri" w:hAnsi="Calibri" w:cs="Calibri"/>
                <w:sz w:val="22"/>
              </w:rPr>
            </w:pPr>
            <w:r>
              <w:rPr>
                <w:rFonts w:ascii="Calibri" w:hAnsi="Calibri" w:cs="Calibri"/>
                <w:sz w:val="22"/>
              </w:rPr>
              <w:t>30.000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44DE300" w14:textId="77777777" w:rsidR="00F739C1" w:rsidRPr="00440FA3" w:rsidRDefault="00F739C1" w:rsidP="00F04BD9">
            <w:pPr>
              <w:keepNext/>
              <w:jc w:val="right"/>
              <w:rPr>
                <w:rFonts w:ascii="Calibri" w:hAnsi="Calibri" w:cs="Calibri"/>
                <w:sz w:val="22"/>
              </w:rPr>
            </w:pPr>
            <w:r>
              <w:rPr>
                <w:rFonts w:ascii="Calibri" w:hAnsi="Calibri" w:cs="Calibri"/>
                <w:sz w:val="22"/>
              </w:rPr>
              <w:t>€300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B0A5B54" w14:textId="77777777" w:rsidR="00F739C1" w:rsidRPr="00440FA3" w:rsidRDefault="00F739C1" w:rsidP="00F04BD9">
            <w:pPr>
              <w:keepNext/>
              <w:jc w:val="right"/>
              <w:rPr>
                <w:rFonts w:ascii="Calibri" w:hAnsi="Calibri" w:cs="Calibri"/>
                <w:sz w:val="22"/>
              </w:rPr>
            </w:pPr>
            <w:r>
              <w:rPr>
                <w:rFonts w:ascii="Calibri" w:hAnsi="Calibri" w:cs="Calibri"/>
                <w:sz w:val="22"/>
              </w:rPr>
              <w:t>€196 → €280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75E87C0" w14:textId="72DB4F43" w:rsidR="00F739C1" w:rsidRPr="00440FA3" w:rsidRDefault="00F739C1" w:rsidP="00F04BD9">
            <w:pPr>
              <w:keepNext/>
              <w:jc w:val="right"/>
              <w:rPr>
                <w:rFonts w:ascii="Calibri" w:hAnsi="Calibri" w:cs="Calibri"/>
                <w:sz w:val="22"/>
              </w:rPr>
            </w:pPr>
            <w:r>
              <w:rPr>
                <w:rFonts w:ascii="Calibri" w:hAnsi="Calibri" w:cs="Calibri"/>
                <w:sz w:val="22"/>
              </w:rPr>
              <w:t>€1,92 → €2,75</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08A8952" w14:textId="77777777" w:rsidR="00F739C1" w:rsidRPr="00440FA3" w:rsidRDefault="00F739C1" w:rsidP="00F04BD9">
            <w:pPr>
              <w:keepNext/>
              <w:jc w:val="right"/>
              <w:rPr>
                <w:rFonts w:ascii="Calibri" w:hAnsi="Calibri" w:cs="Calibri"/>
                <w:sz w:val="22"/>
              </w:rPr>
            </w:pPr>
            <w:r>
              <w:rPr>
                <w:rFonts w:ascii="Calibri" w:hAnsi="Calibri" w:cs="Calibri"/>
                <w:sz w:val="22"/>
              </w:rPr>
              <w:t>€4,86 → €5,69</w:t>
            </w:r>
          </w:p>
        </w:tc>
      </w:tr>
      <w:tr w:rsidR="00F739C1" w:rsidRPr="00440FA3" w14:paraId="11E8922D" w14:textId="77777777" w:rsidTr="00F04BD9">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A2F50FA" w14:textId="77777777" w:rsidR="00F739C1" w:rsidRPr="00440FA3" w:rsidRDefault="00F739C1" w:rsidP="00F04BD9">
            <w:pPr>
              <w:rPr>
                <w:rFonts w:ascii="Calibri" w:hAnsi="Calibri" w:cs="Calibri"/>
                <w:sz w:val="22"/>
              </w:rPr>
            </w:pPr>
            <w:r>
              <w:rPr>
                <w:rFonts w:ascii="Calibri" w:hAnsi="Calibri" w:cs="Calibri"/>
                <w:sz w:val="22"/>
              </w:rPr>
              <w:t xml:space="preserve">50.000 </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426E99" w14:textId="77777777" w:rsidR="00F739C1" w:rsidRPr="00440FA3" w:rsidRDefault="00F739C1" w:rsidP="00F04BD9">
            <w:pPr>
              <w:jc w:val="right"/>
              <w:rPr>
                <w:rFonts w:ascii="Calibri" w:hAnsi="Calibri" w:cs="Calibri"/>
                <w:sz w:val="22"/>
              </w:rPr>
            </w:pPr>
            <w:r>
              <w:rPr>
                <w:rFonts w:ascii="Calibri" w:hAnsi="Calibri" w:cs="Calibri"/>
                <w:sz w:val="22"/>
              </w:rPr>
              <w:t>€500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399AD02" w14:textId="77777777" w:rsidR="00F739C1" w:rsidRPr="00440FA3" w:rsidRDefault="00F739C1" w:rsidP="00F04BD9">
            <w:pPr>
              <w:jc w:val="right"/>
              <w:rPr>
                <w:rFonts w:ascii="Calibri" w:hAnsi="Calibri" w:cs="Calibri"/>
                <w:sz w:val="22"/>
              </w:rPr>
            </w:pPr>
            <w:r>
              <w:rPr>
                <w:rFonts w:ascii="Calibri" w:hAnsi="Calibri" w:cs="Calibri"/>
                <w:sz w:val="22"/>
              </w:rPr>
              <w:t>€196 → €336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98F263A" w14:textId="627CA843" w:rsidR="00F739C1" w:rsidRPr="00440FA3" w:rsidRDefault="00F739C1" w:rsidP="00F04BD9">
            <w:pPr>
              <w:jc w:val="right"/>
              <w:rPr>
                <w:rFonts w:ascii="Calibri" w:hAnsi="Calibri" w:cs="Calibri"/>
                <w:sz w:val="22"/>
              </w:rPr>
            </w:pPr>
            <w:r>
              <w:rPr>
                <w:rFonts w:ascii="Calibri" w:hAnsi="Calibri" w:cs="Calibri"/>
                <w:sz w:val="22"/>
              </w:rPr>
              <w:t>€1,92 → €3,29</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BA6CB1" w14:textId="77777777" w:rsidR="00F739C1" w:rsidRPr="00440FA3" w:rsidRDefault="00F739C1" w:rsidP="00F04BD9">
            <w:pPr>
              <w:jc w:val="right"/>
              <w:rPr>
                <w:rFonts w:ascii="Calibri" w:hAnsi="Calibri" w:cs="Calibri"/>
                <w:sz w:val="22"/>
              </w:rPr>
            </w:pPr>
            <w:r>
              <w:rPr>
                <w:rFonts w:ascii="Calibri" w:hAnsi="Calibri" w:cs="Calibri"/>
                <w:sz w:val="22"/>
              </w:rPr>
              <w:t>€6,83 → €8,20</w:t>
            </w:r>
          </w:p>
        </w:tc>
      </w:tr>
    </w:tbl>
    <w:p w14:paraId="223C93F4" w14:textId="17A3273C" w:rsidR="00721B31" w:rsidRDefault="00974341">
      <w:pPr>
        <w:spacing w:before="60" w:after="200"/>
        <w:rPr>
          <w:rFonts w:ascii="Calibri" w:hAnsi="Calibri" w:cs="Calibri"/>
          <w:sz w:val="22"/>
          <w:lang w:val="nl-NL"/>
        </w:rPr>
      </w:pPr>
      <w:r>
        <w:rPr>
          <w:rFonts w:ascii="Calibri" w:hAnsi="Calibri" w:cs="Calibri"/>
          <w:sz w:val="22"/>
          <w:lang w:val="nl-NL"/>
        </w:rPr>
        <w:t xml:space="preserve">Aannames: vastrechtbijdrage €280,24 per aansluiting per jaar (prijspeil 2026), onrendabele top €10.000 per nieuwe aansluiting bovenop bestaande regelingen, bestaand bestand ruim 700.000 </w:t>
      </w:r>
      <w:r>
        <w:rPr>
          <w:rFonts w:ascii="Calibri" w:hAnsi="Calibri" w:cs="Calibri"/>
          <w:sz w:val="22"/>
          <w:lang w:val="nl-NL"/>
        </w:rPr>
        <w:lastRenderedPageBreak/>
        <w:t>huishoudens en omslag over 8,5 mln huishoudelijke elektriciteitsaansluitingen, zonder kleinzakelijke aansluitingen. Worden die wel meegenomen, dan daalt het bedrag per aansluiting naar verhouding.</w:t>
      </w:r>
    </w:p>
    <w:p w14:paraId="0904B5AF" w14:textId="0D4F64F0" w:rsidR="00A07910" w:rsidRPr="00440FA3" w:rsidRDefault="00A07910" w:rsidP="00A07910">
      <w:pPr>
        <w:spacing w:after="140"/>
        <w:rPr>
          <w:rFonts w:ascii="Calibri" w:hAnsi="Calibri" w:cs="Calibri"/>
          <w:sz w:val="22"/>
          <w:lang w:val="nl-NL"/>
        </w:rPr>
      </w:pPr>
      <w:r>
        <w:rPr>
          <w:rFonts w:ascii="Calibri" w:hAnsi="Calibri" w:cs="Calibri"/>
          <w:sz w:val="22"/>
          <w:lang w:val="nl-NL"/>
        </w:rPr>
        <w:t xml:space="preserve">Bij 30.000 aansluitingen per jaar, een tempo ruim boven het huidige, vraagt de structurele vastrechtbijdrage </w:t>
      </w:r>
      <w:proofErr w:type="gramStart"/>
      <w:r>
        <w:rPr>
          <w:rFonts w:ascii="Calibri" w:hAnsi="Calibri" w:cs="Calibri"/>
          <w:sz w:val="22"/>
          <w:lang w:val="nl-NL"/>
        </w:rPr>
        <w:t>circa</w:t>
      </w:r>
      <w:proofErr w:type="gramEnd"/>
      <w:r>
        <w:rPr>
          <w:rFonts w:ascii="Calibri" w:hAnsi="Calibri" w:cs="Calibri"/>
          <w:sz w:val="22"/>
          <w:lang w:val="nl-NL"/>
        </w:rPr>
        <w:t xml:space="preserve"> €1,90 tot €2,75 per huishoudelijke elektriciteitsaansluiting per maand. Inclusief de tijdelijke onrendabele top is dat </w:t>
      </w:r>
      <w:proofErr w:type="gramStart"/>
      <w:r>
        <w:rPr>
          <w:rFonts w:ascii="Calibri" w:hAnsi="Calibri" w:cs="Calibri"/>
          <w:sz w:val="22"/>
          <w:lang w:val="nl-NL"/>
        </w:rPr>
        <w:t>circa</w:t>
      </w:r>
      <w:proofErr w:type="gramEnd"/>
      <w:r>
        <w:rPr>
          <w:rFonts w:ascii="Calibri" w:hAnsi="Calibri" w:cs="Calibri"/>
          <w:sz w:val="22"/>
          <w:lang w:val="nl-NL"/>
        </w:rPr>
        <w:t xml:space="preserve"> €4,90 tot €5,70. Een tempo van 50.000 per jaar (500.000 extra in tien jaar) leidt tot </w:t>
      </w:r>
      <w:proofErr w:type="gramStart"/>
      <w:r>
        <w:rPr>
          <w:rFonts w:ascii="Calibri" w:hAnsi="Calibri" w:cs="Calibri"/>
          <w:sz w:val="22"/>
          <w:lang w:val="nl-NL"/>
        </w:rPr>
        <w:t>circa</w:t>
      </w:r>
      <w:proofErr w:type="gramEnd"/>
      <w:r>
        <w:rPr>
          <w:rFonts w:ascii="Calibri" w:hAnsi="Calibri" w:cs="Calibri"/>
          <w:sz w:val="22"/>
          <w:lang w:val="nl-NL"/>
        </w:rPr>
        <w:t xml:space="preserve"> €1,90 tot €3,30 per maand voor de vastrechtbijdrage alleen, en </w:t>
      </w:r>
      <w:proofErr w:type="gramStart"/>
      <w:r>
        <w:rPr>
          <w:rFonts w:ascii="Calibri" w:hAnsi="Calibri" w:cs="Calibri"/>
          <w:sz w:val="22"/>
          <w:lang w:val="nl-NL"/>
        </w:rPr>
        <w:t>circa</w:t>
      </w:r>
      <w:proofErr w:type="gramEnd"/>
      <w:r>
        <w:rPr>
          <w:rFonts w:ascii="Calibri" w:hAnsi="Calibri" w:cs="Calibri"/>
          <w:sz w:val="22"/>
          <w:lang w:val="nl-NL"/>
        </w:rPr>
        <w:t xml:space="preserve"> €6,80 tot €8,20 inclusief de onrendabele top. Na afronding van de uitrol valt post B weg en resteert in deze raming de structurele vastrechtbijdrage: circa €3,30 per maand bij 1,2 miljoen aangesloten huishoudens.</w:t>
      </w:r>
    </w:p>
    <w:p w14:paraId="14BABD57" w14:textId="39DFF79F" w:rsidR="00F739C1" w:rsidRPr="00213AAF" w:rsidRDefault="000B51BA" w:rsidP="00F739C1">
      <w:pPr>
        <w:pStyle w:val="Kop2"/>
        <w:rPr>
          <w:rFonts w:cs="Calibri"/>
          <w:sz w:val="22"/>
          <w:szCs w:val="22"/>
          <w:lang w:val="nl-NL"/>
        </w:rPr>
      </w:pPr>
      <w:r>
        <w:rPr>
          <w:rFonts w:cs="Calibri"/>
          <w:sz w:val="22"/>
          <w:szCs w:val="22"/>
          <w:lang w:val="nl-NL"/>
        </w:rPr>
        <w:t>De energierekening van huishoudens</w:t>
      </w:r>
    </w:p>
    <w:p w14:paraId="5AFE6003" w14:textId="77777777" w:rsidR="002F7144" w:rsidRPr="002F7144" w:rsidRDefault="002F7144" w:rsidP="002F7144">
      <w:pPr>
        <w:spacing w:after="140"/>
        <w:rPr>
          <w:rFonts w:ascii="Calibri" w:hAnsi="Calibri" w:cs="Calibri"/>
          <w:sz w:val="22"/>
          <w:lang w:val="nl-NL"/>
        </w:rPr>
      </w:pPr>
      <w:r>
        <w:rPr>
          <w:rFonts w:ascii="Calibri" w:hAnsi="Calibri" w:cs="Calibri"/>
          <w:sz w:val="22"/>
          <w:lang w:val="nl-NL"/>
        </w:rPr>
        <w:t>Door investeringen in het elektriciteitsnet stijgen de netkosten voor huishoudens de komende jaren fors. Netbeheer Nederland verwacht in het basispad een stijging van circa €390 per jaar in 2024 naar circa €1.100 in 2040: ruim €700 per jaar, of circa €60 per maand extra. [16] De nationale warmtebijdrage komt in beginsel bovenop die stijging. Inning via de energiebelasting in plaats van het nettarief verandert daar voor de totale energierekening niets aan.</w:t>
      </w:r>
    </w:p>
    <w:p w14:paraId="6BB62FC6" w14:textId="602B5D96" w:rsidR="002F7144" w:rsidRPr="002F7144" w:rsidRDefault="002F7144" w:rsidP="002F7144">
      <w:pPr>
        <w:spacing w:after="140"/>
        <w:rPr>
          <w:rFonts w:ascii="Calibri" w:hAnsi="Calibri" w:cs="Calibri"/>
          <w:sz w:val="22"/>
          <w:lang w:val="nl-NL"/>
        </w:rPr>
      </w:pPr>
      <w:r>
        <w:rPr>
          <w:rFonts w:ascii="Calibri" w:hAnsi="Calibri" w:cs="Calibri"/>
          <w:sz w:val="22"/>
          <w:lang w:val="nl-NL"/>
        </w:rPr>
        <w:t>De gevolgen verschillen per huishouden. Bij een totale bijdrage van €5 per maand, inclusief de onrendabele top, betaalt ieder huishouden €60 per jaar mee, ook een huishouden met een warmteaansluiting. Als de vaste warmtekosten voor dat huishouden dalen van €828 naar €548, resteert na betaling van de bijdrage een voordeel van circa €220 per jaar. Een huishouden zonder warmteaansluiting betaalt dezelfde €60, zonder die directe verlaging van de warmterekening.</w:t>
      </w:r>
    </w:p>
    <w:p w14:paraId="4753B338" w14:textId="7AB220A0" w:rsidR="002F7144" w:rsidRPr="002F7144" w:rsidRDefault="008F7FF9" w:rsidP="002F7144">
      <w:pPr>
        <w:spacing w:after="140"/>
        <w:rPr>
          <w:rFonts w:ascii="Calibri" w:hAnsi="Calibri" w:cs="Calibri"/>
          <w:sz w:val="22"/>
          <w:lang w:val="nl-NL"/>
        </w:rPr>
      </w:pPr>
      <w:r>
        <w:rPr>
          <w:rFonts w:ascii="Calibri" w:hAnsi="Calibri" w:cs="Calibri"/>
          <w:sz w:val="22"/>
          <w:lang w:val="nl-NL"/>
        </w:rPr>
        <w:t xml:space="preserve">Daar waar </w:t>
      </w:r>
      <w:r w:rsidR="002F7144">
        <w:rPr>
          <w:rFonts w:ascii="Calibri" w:hAnsi="Calibri" w:cs="Calibri"/>
          <w:sz w:val="22"/>
          <w:lang w:val="nl-NL"/>
        </w:rPr>
        <w:t xml:space="preserve">collectieve warmte lagere maatschappelijke kosten heeft dan individuele elektrische verwarming, kan uitbreiding van warmtenetten investeringen in het elektriciteitsnet en regelbaar vermogen beperken. Daarvan kunnen ook huishoudens zonder warmteaansluiting profiteren. Hoe groot dit voordeel is, hangt af van de warmtebron, de lokale situatie en het alternatief voor het warmtenet. </w:t>
      </w:r>
    </w:p>
    <w:p w14:paraId="710F4195" w14:textId="1E9A91DD" w:rsidR="002F7144" w:rsidRPr="002F7144" w:rsidRDefault="002F7144" w:rsidP="002F7144">
      <w:pPr>
        <w:spacing w:after="140"/>
        <w:rPr>
          <w:rFonts w:ascii="Calibri" w:hAnsi="Calibri" w:cs="Calibri"/>
          <w:sz w:val="22"/>
          <w:lang w:val="nl-NL"/>
        </w:rPr>
      </w:pPr>
      <w:r>
        <w:rPr>
          <w:rFonts w:ascii="Calibri" w:hAnsi="Calibri" w:cs="Calibri"/>
          <w:sz w:val="22"/>
          <w:lang w:val="nl-NL"/>
        </w:rPr>
        <w:t>Ons voorstel is daarom om de steun voor de onrendabele top gericht in te zetten waar collectieve warmte aantoonbaar maatschappelijke voordelen biedt. Compensatie op basis van efficiënte kosten en toetsing van de gevolgen voor verschillende groepen huishoudens moeten voorkomen dat een brede bijdrage onnodig dure warmtevoorzieningen in stand houdt.</w:t>
      </w:r>
    </w:p>
    <w:p w14:paraId="14FA039B" w14:textId="77777777" w:rsidR="00F739C1" w:rsidRPr="00F2628E" w:rsidRDefault="00F739C1" w:rsidP="00F739C1">
      <w:pPr>
        <w:pStyle w:val="Kop1"/>
        <w:rPr>
          <w:rFonts w:cs="Calibri"/>
          <w:sz w:val="22"/>
          <w:szCs w:val="22"/>
          <w:lang w:val="nl-NL"/>
        </w:rPr>
      </w:pPr>
      <w:r>
        <w:rPr>
          <w:rFonts w:cs="Calibri"/>
          <w:sz w:val="22"/>
          <w:szCs w:val="22"/>
          <w:lang w:val="nl-NL"/>
        </w:rPr>
        <w:t>5. De maatschappelijke waarde van collectieve warmte</w:t>
      </w:r>
    </w:p>
    <w:p w14:paraId="56690502" w14:textId="77777777" w:rsidR="00F739C1" w:rsidRPr="00440FA3" w:rsidRDefault="00192121" w:rsidP="00F739C1">
      <w:pPr>
        <w:spacing w:after="140"/>
        <w:rPr>
          <w:rFonts w:ascii="Calibri" w:hAnsi="Calibri" w:cs="Calibri"/>
          <w:sz w:val="22"/>
          <w:lang w:val="nl-NL"/>
        </w:rPr>
      </w:pPr>
      <w:r>
        <w:rPr>
          <w:rFonts w:ascii="Calibri" w:hAnsi="Calibri" w:cs="Calibri"/>
          <w:sz w:val="22"/>
          <w:lang w:val="nl-NL"/>
        </w:rPr>
        <w:t>Collectieve warmte levert niet alleen warmte aan aangesloten huishoudens, maar kan ook kosten elders in het energiesysteem voorkomen. Die maatschappelijke waarde is relevant bij de afweging om een deel van de warmtekosten collectief te financieren. Een meta-analyse voor Netbeheer Nederland zet de beschikbare studies op een rij [8]:</w:t>
      </w:r>
    </w:p>
    <w:p w14:paraId="15F2044E" w14:textId="77777777"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Berenschot (2024): €49–292 maatschappelijke meerwaarde per woningequivalent per jaar ten opzichte van all-electric, in vergelijkbare stedelijke gebieden.</w:t>
      </w:r>
    </w:p>
    <w:p w14:paraId="009BF15E" w14:textId="77777777"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CE Delft (2024): €117–144 per woningequivalent per jaar.</w:t>
      </w:r>
    </w:p>
    <w:p w14:paraId="79874C22" w14:textId="77777777" w:rsidR="00F739C1" w:rsidRPr="00440FA3" w:rsidRDefault="00F739C1" w:rsidP="00F739C1">
      <w:pPr>
        <w:pStyle w:val="Lijstalinea"/>
        <w:numPr>
          <w:ilvl w:val="0"/>
          <w:numId w:val="1"/>
        </w:numPr>
        <w:spacing w:after="80" w:line="276" w:lineRule="auto"/>
        <w:rPr>
          <w:rFonts w:ascii="Calibri" w:hAnsi="Calibri" w:cs="Calibri"/>
          <w:sz w:val="22"/>
          <w:szCs w:val="22"/>
        </w:rPr>
      </w:pPr>
      <w:r>
        <w:rPr>
          <w:rFonts w:ascii="Calibri" w:hAnsi="Calibri" w:cs="Calibri"/>
          <w:sz w:val="22"/>
          <w:szCs w:val="22"/>
        </w:rPr>
        <w:t>Ecorys (2025, Vesta MAIS): zonder nieuwe warmtenetten liggen de jaarlijkse nationale kosten 11% hoger en nemen de investeringen in netverzwaring met 49% toe.</w:t>
      </w:r>
    </w:p>
    <w:p w14:paraId="56809BE7" w14:textId="77777777" w:rsidR="00373050" w:rsidRPr="00440FA3" w:rsidRDefault="00373050" w:rsidP="00F739C1">
      <w:pPr>
        <w:spacing w:after="140"/>
        <w:rPr>
          <w:rFonts w:ascii="Calibri" w:hAnsi="Calibri" w:cs="Calibri"/>
          <w:sz w:val="22"/>
          <w:lang w:val="nl-NL"/>
        </w:rPr>
      </w:pPr>
      <w:r>
        <w:rPr>
          <w:rFonts w:ascii="Calibri" w:hAnsi="Calibri" w:cs="Calibri"/>
          <w:sz w:val="22"/>
          <w:lang w:val="nl-NL"/>
        </w:rPr>
        <w:lastRenderedPageBreak/>
        <w:t>De geraamde maatschappelijke baten liggen deels in dezelfde orde van grootte als de vastrechtbijdrage van €280 per huishouden per jaar. Dat ondersteunt het argument om de financiering van collectieve warmte vanuit het hele energiesysteem te bezien. Het gaat echter om vermeden maatschappelijke kosten, niet om geld dat automatisch beschikbaar komt om warmtebedrijven te compenseren. De omvang en toerekenbaarheid van die baten verschillen bovendien per gebied en alternatief.</w:t>
      </w:r>
    </w:p>
    <w:p w14:paraId="1EE9D359" w14:textId="77777777" w:rsidR="00F739C1" w:rsidRPr="00440FA3" w:rsidRDefault="00F739C1" w:rsidP="00F739C1">
      <w:pPr>
        <w:spacing w:after="140"/>
        <w:rPr>
          <w:rFonts w:ascii="Calibri" w:hAnsi="Calibri" w:cs="Calibri"/>
          <w:sz w:val="22"/>
          <w:lang w:val="nl-NL"/>
        </w:rPr>
      </w:pPr>
      <w:r>
        <w:rPr>
          <w:rFonts w:ascii="Calibri" w:hAnsi="Calibri" w:cs="Calibri"/>
          <w:b/>
          <w:bCs/>
          <w:sz w:val="22"/>
          <w:lang w:val="nl-NL"/>
        </w:rPr>
        <w:t>Daar komen de kosten van vertraging nog bij.</w:t>
      </w:r>
      <w:r>
        <w:rPr>
          <w:rFonts w:ascii="Calibri" w:hAnsi="Calibri" w:cs="Calibri"/>
          <w:sz w:val="22"/>
          <w:lang w:val="nl-NL"/>
        </w:rPr>
        <w:t xml:space="preserve"> Blijft warmte uit en gaan nieuwbouw en bestaande wijken maximaal all-electric, dan groeit de vraag naar netcapaciteit juist waar het net nu al vol zit. BCG schat de maatschappelijke kosten van netcongestie op €10–40 miljard per jaar, onder meer doordat woningbouw stilligt en verduurzaming wordt uitgesteld. [13] Ecorys becijferde voor het ministerie van EZK dat elke MWh elektriciteit die voor woningbouw niet geleverd kan worden de samenleving €594–3.118 aan gederfde toegevoegde waarde kost, plus €213–354 aan gemiste verduurzamingsbaten. [14] Die bedragen gelden voor de hele economie en zijn niet één-op-één aan warmte toe te rekenen. Ze maken wel duidelijk dat de systeemwaarde hierboven, die vooral vermeden netverzwaring en regelbaar vermogen meetelt, eerder aan de voorzichtige kant is.</w:t>
      </w:r>
    </w:p>
    <w:p w14:paraId="0B5DBC6D" w14:textId="77777777" w:rsidR="00F739C1" w:rsidRPr="00440FA3" w:rsidRDefault="00F739C1" w:rsidP="00F739C1">
      <w:pPr>
        <w:spacing w:after="140"/>
        <w:rPr>
          <w:rFonts w:ascii="Calibri" w:hAnsi="Calibri" w:cs="Calibri"/>
          <w:sz w:val="22"/>
          <w:lang w:val="nl-NL"/>
        </w:rPr>
      </w:pPr>
      <w:r>
        <w:rPr>
          <w:rFonts w:ascii="Calibri" w:hAnsi="Calibri" w:cs="Calibri"/>
          <w:sz w:val="22"/>
          <w:lang w:val="nl-NL"/>
        </w:rPr>
        <w:t xml:space="preserve">Twee kanttekeningen. </w:t>
      </w:r>
      <w:r>
        <w:rPr>
          <w:rFonts w:ascii="Calibri" w:hAnsi="Calibri" w:cs="Calibri"/>
          <w:b/>
          <w:bCs/>
          <w:sz w:val="22"/>
          <w:lang w:val="nl-NL"/>
        </w:rPr>
        <w:t>Ten eerste</w:t>
      </w:r>
      <w:r>
        <w:rPr>
          <w:rFonts w:ascii="Calibri" w:hAnsi="Calibri" w:cs="Calibri"/>
          <w:sz w:val="22"/>
          <w:lang w:val="nl-NL"/>
        </w:rPr>
        <w:t xml:space="preserve"> zit de waarde maar voor een klein deel in het laagspanningsnet zelf. Een studie van Common Futures voor Netbeheer Nederland en EBN laat zien dat verzwaring van het LS-net en de MS/LS-trafo's circa 2% van de nationale kapitaallasten voor warmte uitmaakt. De grotere post is regelbaar vermogen bij hoge gelijktijdigheid: tot €1,4 miljard per jaar extra. [9] Voor de onderbouwing zijn met name de effecten op de systeempiek en de behoefte aan regelbaar vermogen relevant, naast eventuele besparingen op lokale infrastructuur.</w:t>
      </w:r>
    </w:p>
    <w:p w14:paraId="261252D4" w14:textId="77777777" w:rsidR="00F739C1" w:rsidRPr="00440FA3" w:rsidRDefault="00F739C1" w:rsidP="00F739C1">
      <w:pPr>
        <w:spacing w:after="140"/>
        <w:rPr>
          <w:rFonts w:ascii="Calibri" w:hAnsi="Calibri" w:cs="Calibri"/>
          <w:sz w:val="22"/>
          <w:lang w:val="nl-NL"/>
        </w:rPr>
      </w:pPr>
      <w:r>
        <w:rPr>
          <w:rFonts w:ascii="Calibri" w:hAnsi="Calibri" w:cs="Calibri"/>
          <w:b/>
          <w:bCs/>
          <w:sz w:val="22"/>
          <w:lang w:val="nl-NL"/>
        </w:rPr>
        <w:t>Ten tweede</w:t>
      </w:r>
      <w:r>
        <w:rPr>
          <w:rFonts w:ascii="Calibri" w:hAnsi="Calibri" w:cs="Calibri"/>
          <w:sz w:val="22"/>
          <w:lang w:val="nl-NL"/>
        </w:rPr>
        <w:t xml:space="preserve"> bestaat systeemwaarde uit vermeden kosten. Ze verschijnt niet als een lagere rekening, maar als een stijging die uitblijft. </w:t>
      </w:r>
      <w:r w:rsidRPr="009C3079">
        <w:rPr>
          <w:rFonts w:ascii="Calibri" w:hAnsi="Calibri" w:cs="Calibri"/>
          <w:sz w:val="22"/>
          <w:lang w:val="nl-NL"/>
        </w:rPr>
        <w:t xml:space="preserve">Een maatschappelijke beoordeling vergelijkt daarom een scenario met aanvullende warmteaansluitingen en bijdrage met een alternatief zonder die uitbreiding, inclusief de gevolgen voor netverzwaring en regelbaar vermogen. </w:t>
      </w:r>
      <w:r>
        <w:rPr>
          <w:rFonts w:ascii="Calibri" w:hAnsi="Calibri" w:cs="Calibri"/>
          <w:sz w:val="22"/>
          <w:lang w:val="nl-NL"/>
        </w:rPr>
        <w:t>Die extra netverzwaring komt via het nettarief bij alle huishoudens terecht, bovenop de stijging die al is voorzien.</w:t>
      </w:r>
    </w:p>
    <w:p w14:paraId="28004F75" w14:textId="77777777" w:rsidR="00F739C1" w:rsidRPr="00440FA3" w:rsidRDefault="00F739C1" w:rsidP="00F739C1">
      <w:pPr>
        <w:pStyle w:val="Kop1"/>
        <w:rPr>
          <w:rFonts w:cs="Calibri"/>
          <w:sz w:val="22"/>
          <w:szCs w:val="22"/>
          <w:lang w:val="nl-NL"/>
        </w:rPr>
      </w:pPr>
      <w:r>
        <w:rPr>
          <w:rFonts w:cs="Calibri"/>
          <w:sz w:val="22"/>
          <w:szCs w:val="22"/>
          <w:lang w:val="nl-NL"/>
        </w:rPr>
        <w:lastRenderedPageBreak/>
        <w:t>6. Hoe organiseren we de collectieve financiering?</w:t>
      </w:r>
    </w:p>
    <w:p w14:paraId="2EF4F713" w14:textId="77777777" w:rsidR="00F739C1" w:rsidRPr="00440FA3" w:rsidRDefault="00F739C1" w:rsidP="00F739C1">
      <w:pPr>
        <w:pStyle w:val="Kop2"/>
        <w:rPr>
          <w:rFonts w:cs="Calibri"/>
          <w:b w:val="0"/>
          <w:bCs/>
          <w:color w:val="auto"/>
          <w:sz w:val="22"/>
          <w:szCs w:val="22"/>
          <w:lang w:val="nl-NL"/>
        </w:rPr>
      </w:pPr>
      <w:r>
        <w:rPr>
          <w:rFonts w:cs="Calibri"/>
          <w:b w:val="0"/>
          <w:bCs/>
          <w:color w:val="auto"/>
          <w:sz w:val="22"/>
          <w:szCs w:val="22"/>
          <w:lang w:val="nl-NL"/>
        </w:rPr>
        <w:t xml:space="preserve">Wij zien de volgende opties om de nationale warmtebijdrage te organiseren: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000"/>
        <w:gridCol w:w="4160"/>
      </w:tblGrid>
      <w:tr w:rsidR="00F739C1" w:rsidRPr="00440FA3" w14:paraId="332D4278" w14:textId="77777777" w:rsidTr="00F04BD9">
        <w:trPr>
          <w:cantSplit/>
          <w:tblHeader/>
        </w:trPr>
        <w:tc>
          <w:tcPr>
            <w:tcW w:w="22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06B756E4" w14:textId="77777777" w:rsidR="00F739C1" w:rsidRPr="00440FA3" w:rsidRDefault="00F739C1" w:rsidP="00F04BD9">
            <w:pPr>
              <w:keepNext/>
              <w:rPr>
                <w:rFonts w:ascii="Calibri" w:hAnsi="Calibri" w:cs="Calibri"/>
                <w:sz w:val="22"/>
              </w:rPr>
            </w:pPr>
            <w:r>
              <w:rPr>
                <w:rFonts w:ascii="Calibri" w:hAnsi="Calibri" w:cs="Calibri"/>
                <w:b/>
                <w:bCs/>
                <w:sz w:val="22"/>
              </w:rPr>
              <w:t>Route</w:t>
            </w:r>
          </w:p>
        </w:tc>
        <w:tc>
          <w:tcPr>
            <w:tcW w:w="30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428D2B24" w14:textId="77777777" w:rsidR="00F739C1" w:rsidRPr="00440FA3" w:rsidRDefault="00F739C1" w:rsidP="00F04BD9">
            <w:pPr>
              <w:keepNext/>
              <w:rPr>
                <w:rFonts w:ascii="Calibri" w:hAnsi="Calibri" w:cs="Calibri"/>
                <w:sz w:val="22"/>
              </w:rPr>
            </w:pPr>
            <w:r>
              <w:rPr>
                <w:rFonts w:ascii="Calibri" w:hAnsi="Calibri" w:cs="Calibri"/>
                <w:b/>
                <w:bCs/>
                <w:sz w:val="22"/>
              </w:rPr>
              <w:t>Hoe</w:t>
            </w:r>
          </w:p>
        </w:tc>
        <w:tc>
          <w:tcPr>
            <w:tcW w:w="41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3CBCD467" w14:textId="77777777" w:rsidR="00F739C1" w:rsidRPr="00440FA3" w:rsidRDefault="00F739C1" w:rsidP="00F04BD9">
            <w:pPr>
              <w:keepNext/>
              <w:rPr>
                <w:rFonts w:ascii="Calibri" w:hAnsi="Calibri" w:cs="Calibri"/>
                <w:sz w:val="22"/>
              </w:rPr>
            </w:pPr>
            <w:r>
              <w:rPr>
                <w:rFonts w:ascii="Calibri" w:hAnsi="Calibri" w:cs="Calibri"/>
                <w:b/>
                <w:bCs/>
                <w:sz w:val="22"/>
              </w:rPr>
              <w:t>Beoordeling</w:t>
            </w:r>
          </w:p>
        </w:tc>
      </w:tr>
      <w:tr w:rsidR="00F739C1" w:rsidRPr="00583771" w14:paraId="612CCA72" w14:textId="77777777" w:rsidTr="00F04BD9">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A5BC145" w14:textId="77777777" w:rsidR="00F739C1" w:rsidRPr="00440FA3" w:rsidRDefault="00F739C1" w:rsidP="00F04BD9">
            <w:pPr>
              <w:keepNext/>
              <w:rPr>
                <w:rFonts w:ascii="Calibri" w:hAnsi="Calibri" w:cs="Calibri"/>
                <w:sz w:val="22"/>
              </w:rPr>
            </w:pPr>
            <w:r>
              <w:rPr>
                <w:rFonts w:ascii="Calibri" w:hAnsi="Calibri" w:cs="Calibri"/>
                <w:sz w:val="22"/>
              </w:rPr>
              <w:t>Opslag op het elektriciteitsnettarief</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D125F70" w14:textId="77777777" w:rsidR="00F739C1" w:rsidRPr="00440FA3" w:rsidRDefault="00F739C1" w:rsidP="00F04BD9">
            <w:pPr>
              <w:keepNext/>
              <w:rPr>
                <w:rFonts w:ascii="Calibri" w:hAnsi="Calibri" w:cs="Calibri"/>
                <w:sz w:val="22"/>
                <w:lang w:val="nl-NL"/>
              </w:rPr>
            </w:pPr>
            <w:r>
              <w:rPr>
                <w:rFonts w:ascii="Calibri" w:hAnsi="Calibri" w:cs="Calibri"/>
                <w:sz w:val="22"/>
                <w:lang w:val="nl-NL"/>
              </w:rPr>
              <w:t>De netbeheerder rekent een extra bedrag per aansluiting</w:t>
            </w:r>
          </w:p>
        </w:tc>
        <w:tc>
          <w:tcPr>
            <w:tcW w:w="4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4E430B1" w14:textId="77777777" w:rsidR="00F739C1" w:rsidRPr="00440FA3" w:rsidRDefault="00F739C1" w:rsidP="00F04BD9">
            <w:pPr>
              <w:keepNext/>
              <w:rPr>
                <w:rFonts w:ascii="Calibri" w:hAnsi="Calibri" w:cs="Calibri"/>
                <w:sz w:val="22"/>
                <w:lang w:val="nl-NL"/>
              </w:rPr>
            </w:pPr>
            <w:r>
              <w:rPr>
                <w:rFonts w:ascii="Calibri" w:hAnsi="Calibri" w:cs="Calibri"/>
                <w:sz w:val="22"/>
                <w:lang w:val="nl-NL"/>
              </w:rPr>
              <w:t>Fundamentele wijziging: nettarieven moeten kostenreflectief zijn en mogen geen kosten bevatten voor niet-gerelateerde beleidsdoelen (art. 18 Vo. (EU) 2019/943), en de tariefmethode is voorbehouden aan de ACM. [10] Vergt een wetswijziging en een oplossing binnen het Europese kader. De zwaarste route, maar niet uitgesloten: inhoudelijk sluit hij het best aan bij vermeden netkosten.</w:t>
            </w:r>
          </w:p>
        </w:tc>
      </w:tr>
      <w:tr w:rsidR="00F739C1" w:rsidRPr="00583771" w14:paraId="7C68C80B" w14:textId="77777777" w:rsidTr="00F04BD9">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5F5095" w14:textId="77777777" w:rsidR="00F739C1" w:rsidRPr="00440FA3" w:rsidRDefault="00F739C1" w:rsidP="00F04BD9">
            <w:pPr>
              <w:keepNext/>
              <w:rPr>
                <w:rFonts w:ascii="Calibri" w:hAnsi="Calibri" w:cs="Calibri"/>
                <w:sz w:val="22"/>
              </w:rPr>
            </w:pPr>
            <w:proofErr w:type="spellStart"/>
            <w:r>
              <w:rPr>
                <w:rFonts w:ascii="Calibri" w:hAnsi="Calibri" w:cs="Calibri"/>
                <w:sz w:val="22"/>
              </w:rPr>
              <w:t>Opslag</w:t>
            </w:r>
            <w:proofErr w:type="spellEnd"/>
            <w:r>
              <w:rPr>
                <w:rFonts w:ascii="Calibri" w:hAnsi="Calibri" w:cs="Calibri"/>
                <w:sz w:val="22"/>
              </w:rPr>
              <w:t xml:space="preserve"> op het </w:t>
            </w:r>
            <w:proofErr w:type="spellStart"/>
            <w:r>
              <w:rPr>
                <w:rFonts w:ascii="Calibri" w:hAnsi="Calibri" w:cs="Calibri"/>
                <w:sz w:val="22"/>
              </w:rPr>
              <w:t>gasnettarief</w:t>
            </w:r>
            <w:proofErr w:type="spellEnd"/>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A31D72" w14:textId="77777777" w:rsidR="00F739C1" w:rsidRPr="00440FA3" w:rsidRDefault="00F739C1" w:rsidP="00F04BD9">
            <w:pPr>
              <w:keepNext/>
              <w:rPr>
                <w:rFonts w:ascii="Calibri" w:hAnsi="Calibri" w:cs="Calibri"/>
                <w:sz w:val="22"/>
              </w:rPr>
            </w:pPr>
            <w:r>
              <w:rPr>
                <w:rFonts w:ascii="Calibri" w:hAnsi="Calibri" w:cs="Calibri"/>
                <w:sz w:val="22"/>
              </w:rPr>
              <w:t>Idem, via gas</w:t>
            </w:r>
          </w:p>
        </w:tc>
        <w:tc>
          <w:tcPr>
            <w:tcW w:w="4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1AD9CE6" w14:textId="5C8E1990" w:rsidR="00F739C1" w:rsidRPr="00440FA3" w:rsidRDefault="00F739C1" w:rsidP="00F04BD9">
            <w:pPr>
              <w:keepNext/>
              <w:rPr>
                <w:rFonts w:ascii="Calibri" w:hAnsi="Calibri" w:cs="Calibri"/>
                <w:sz w:val="22"/>
                <w:lang w:val="nl-NL"/>
              </w:rPr>
            </w:pPr>
            <w:r>
              <w:rPr>
                <w:rFonts w:ascii="Calibri" w:hAnsi="Calibri" w:cs="Calibri"/>
                <w:sz w:val="22"/>
                <w:lang w:val="nl-NL"/>
              </w:rPr>
              <w:t xml:space="preserve">Zelfde kader als bij elektriciteit. </w:t>
            </w:r>
          </w:p>
        </w:tc>
      </w:tr>
      <w:tr w:rsidR="00F739C1" w:rsidRPr="00583771" w14:paraId="047F38C2" w14:textId="77777777" w:rsidTr="00F04BD9">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ACF3972" w14:textId="77777777" w:rsidR="00F739C1" w:rsidRPr="00440FA3" w:rsidRDefault="00F739C1" w:rsidP="00F04BD9">
            <w:pPr>
              <w:keepNext/>
              <w:rPr>
                <w:rFonts w:ascii="Calibri" w:hAnsi="Calibri" w:cs="Calibri"/>
                <w:sz w:val="22"/>
              </w:rPr>
            </w:pPr>
            <w:proofErr w:type="spellStart"/>
            <w:r>
              <w:rPr>
                <w:rFonts w:ascii="Calibri" w:hAnsi="Calibri" w:cs="Calibri"/>
                <w:sz w:val="22"/>
              </w:rPr>
              <w:t>Heffing</w:t>
            </w:r>
            <w:proofErr w:type="spellEnd"/>
            <w:r>
              <w:rPr>
                <w:rFonts w:ascii="Calibri" w:hAnsi="Calibri" w:cs="Calibri"/>
                <w:sz w:val="22"/>
              </w:rPr>
              <w:t xml:space="preserve"> via de </w:t>
            </w:r>
            <w:proofErr w:type="spellStart"/>
            <w:r>
              <w:rPr>
                <w:rFonts w:ascii="Calibri" w:hAnsi="Calibri" w:cs="Calibri"/>
                <w:sz w:val="22"/>
              </w:rPr>
              <w:t>energiebelasting</w:t>
            </w:r>
            <w:proofErr w:type="spellEnd"/>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ADBA719" w14:textId="77777777" w:rsidR="00F739C1" w:rsidRPr="00440FA3" w:rsidRDefault="00F739C1" w:rsidP="00F04BD9">
            <w:pPr>
              <w:keepNext/>
              <w:rPr>
                <w:rFonts w:ascii="Calibri" w:hAnsi="Calibri" w:cs="Calibri"/>
                <w:sz w:val="22"/>
                <w:lang w:val="nl-NL"/>
              </w:rPr>
            </w:pPr>
            <w:r>
              <w:rPr>
                <w:rFonts w:ascii="Calibri" w:hAnsi="Calibri" w:cs="Calibri"/>
                <w:sz w:val="22"/>
                <w:lang w:val="nl-NL"/>
              </w:rPr>
              <w:t>Verlaging van de belastingvermindering per elektriciteitsaansluiting, opbrengst geoormerkt voor een warmtefonds</w:t>
            </w:r>
          </w:p>
        </w:tc>
        <w:tc>
          <w:tcPr>
            <w:tcW w:w="4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A65E5F" w14:textId="77777777" w:rsidR="00F739C1" w:rsidRPr="00440FA3" w:rsidRDefault="00F739C1" w:rsidP="00F04BD9">
            <w:pPr>
              <w:keepNext/>
              <w:rPr>
                <w:rFonts w:ascii="Calibri" w:hAnsi="Calibri" w:cs="Calibri"/>
                <w:sz w:val="22"/>
                <w:lang w:val="nl-NL"/>
              </w:rPr>
            </w:pPr>
            <w:r>
              <w:rPr>
                <w:rFonts w:ascii="Calibri" w:hAnsi="Calibri" w:cs="Calibri"/>
                <w:sz w:val="22"/>
                <w:lang w:val="nl-NL"/>
              </w:rPr>
              <w:t>Meest werkbaar: bestaand instrument, geïnd via de energierekening, met de ODE als precedent van een opslag op de energiebelasting. Vergt ook een wetswijziging en een fondsconstructie, maar blijft binnen nationale bevoegdheid.</w:t>
            </w:r>
          </w:p>
        </w:tc>
      </w:tr>
      <w:tr w:rsidR="00F739C1" w:rsidRPr="00583771" w14:paraId="67946876" w14:textId="77777777" w:rsidTr="00F04BD9">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FB12094" w14:textId="77777777" w:rsidR="00F739C1" w:rsidRPr="00440FA3" w:rsidRDefault="00F739C1" w:rsidP="00F04BD9">
            <w:pPr>
              <w:rPr>
                <w:rFonts w:ascii="Calibri" w:hAnsi="Calibri" w:cs="Calibri"/>
                <w:sz w:val="22"/>
              </w:rPr>
            </w:pPr>
            <w:proofErr w:type="spellStart"/>
            <w:r>
              <w:rPr>
                <w:rFonts w:ascii="Calibri" w:hAnsi="Calibri" w:cs="Calibri"/>
                <w:sz w:val="22"/>
              </w:rPr>
              <w:t>Rijksbegroting</w:t>
            </w:r>
            <w:proofErr w:type="spellEnd"/>
            <w:r>
              <w:rPr>
                <w:rFonts w:ascii="Calibri" w:hAnsi="Calibri" w:cs="Calibri"/>
                <w:sz w:val="22"/>
              </w:rPr>
              <w:t xml:space="preserve"> / </w:t>
            </w:r>
            <w:proofErr w:type="spellStart"/>
            <w:r>
              <w:rPr>
                <w:rFonts w:ascii="Calibri" w:hAnsi="Calibri" w:cs="Calibri"/>
                <w:sz w:val="22"/>
              </w:rPr>
              <w:t>Klimaatfonds</w:t>
            </w:r>
            <w:proofErr w:type="spellEnd"/>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93B86C9" w14:textId="77777777" w:rsidR="00F739C1" w:rsidRPr="00440FA3" w:rsidRDefault="00F739C1" w:rsidP="00F04BD9">
            <w:pPr>
              <w:rPr>
                <w:rFonts w:ascii="Calibri" w:hAnsi="Calibri" w:cs="Calibri"/>
                <w:sz w:val="22"/>
              </w:rPr>
            </w:pPr>
            <w:r>
              <w:rPr>
                <w:rFonts w:ascii="Calibri" w:hAnsi="Calibri" w:cs="Calibri"/>
                <w:sz w:val="22"/>
              </w:rPr>
              <w:t>Directe uitgave</w:t>
            </w:r>
          </w:p>
        </w:tc>
        <w:tc>
          <w:tcPr>
            <w:tcW w:w="4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AEAFA0" w14:textId="77777777" w:rsidR="00F739C1" w:rsidRPr="00440FA3" w:rsidRDefault="00F739C1" w:rsidP="00F04BD9">
            <w:pPr>
              <w:rPr>
                <w:rFonts w:ascii="Calibri" w:hAnsi="Calibri" w:cs="Calibri"/>
                <w:sz w:val="22"/>
                <w:lang w:val="nl-NL"/>
              </w:rPr>
            </w:pPr>
            <w:r>
              <w:rPr>
                <w:rFonts w:ascii="Calibri" w:hAnsi="Calibri" w:cs="Calibri"/>
                <w:sz w:val="22"/>
                <w:lang w:val="nl-NL"/>
              </w:rPr>
              <w:t>Eenvoudig, maar zonder structurele koppeling aan het energiesysteem. Structurele dekking ligt in het huidige financieel-politieke klimaat niet voor de hand.</w:t>
            </w:r>
          </w:p>
        </w:tc>
      </w:tr>
    </w:tbl>
    <w:p w14:paraId="437860D1" w14:textId="77777777" w:rsidR="00F739C1" w:rsidRPr="00440FA3" w:rsidRDefault="00F739C1" w:rsidP="00F739C1">
      <w:pPr>
        <w:spacing w:after="60"/>
        <w:rPr>
          <w:rFonts w:ascii="Calibri" w:hAnsi="Calibri" w:cs="Calibri"/>
          <w:sz w:val="22"/>
          <w:lang w:val="nl-NL"/>
        </w:rPr>
      </w:pPr>
    </w:p>
    <w:p w14:paraId="7C27059E" w14:textId="5277A28C" w:rsidR="00DA04ED" w:rsidRDefault="00DA04ED" w:rsidP="00DA04ED">
      <w:pPr>
        <w:spacing w:after="140"/>
        <w:rPr>
          <w:rFonts w:ascii="Calibri" w:hAnsi="Calibri" w:cs="Calibri"/>
          <w:sz w:val="22"/>
          <w:lang w:val="nl-NL"/>
        </w:rPr>
      </w:pPr>
      <w:r>
        <w:rPr>
          <w:rFonts w:ascii="Calibri" w:hAnsi="Calibri" w:cs="Calibri"/>
          <w:sz w:val="22"/>
          <w:lang w:val="nl-NL"/>
        </w:rPr>
        <w:t>Onze voorkeur is om de vastrechtbijdrage en de onrendabele top via een heffing binnen de energiebelasting te financieren. Die route vraagt een wetswijziging, maar blijft binnen nationale bevoegdheid en kent met de ODE een precedent. De inning loopt daarmee nadrukkelijk buiten het nettarief. Een opslag op het elektriciteitsnettarief sluit inhoudelijk aan bij het argument van vermeden netkosten, maar vraagt een fundamentelere juridische wijziging en heeft daarom niet onze voorkeur. Elektriciteit is in beide gevallen een brede grondslag: vrijwel ieder huishouden heeft een aansluiting, terwijl het aantal gasaansluitingen afneemt.</w:t>
      </w:r>
    </w:p>
    <w:p w14:paraId="000F7A7C" w14:textId="52A3AAA7" w:rsidR="00BA5703" w:rsidRPr="00440FA3" w:rsidRDefault="00BA5703" w:rsidP="00DA04ED">
      <w:pPr>
        <w:spacing w:after="140"/>
        <w:rPr>
          <w:rFonts w:ascii="Calibri" w:hAnsi="Calibri" w:cs="Calibri"/>
          <w:sz w:val="22"/>
          <w:lang w:val="nl-NL"/>
        </w:rPr>
      </w:pPr>
      <w:r>
        <w:rPr>
          <w:rFonts w:ascii="Calibri" w:hAnsi="Calibri" w:cs="Calibri"/>
          <w:sz w:val="22"/>
          <w:lang w:val="nl-NL"/>
        </w:rPr>
        <w:t>De Wcw bevat al bepalingen over tarieflimieten, verevening en bijdragen om warmte financieel aantrekkelijker te maken. Ons voorstel is om de verdere uitwerking daarvan te verbinden aan een landelijk maximum voor de vaste warmtekosten en een brede financieringsgrondslag. De financiering van de onrendabele top van nieuwe aansluitingen regelen we daarbij als aparte, tijdelijke component</w:t>
      </w:r>
      <w:r w:rsidR="00FE0D9C">
        <w:rPr>
          <w:rFonts w:ascii="Calibri" w:hAnsi="Calibri" w:cs="Calibri"/>
          <w:sz w:val="22"/>
          <w:lang w:val="nl-NL"/>
        </w:rPr>
        <w:t>,</w:t>
      </w:r>
      <w:r>
        <w:rPr>
          <w:rFonts w:ascii="Calibri" w:hAnsi="Calibri" w:cs="Calibri"/>
          <w:sz w:val="22"/>
          <w:lang w:val="nl-NL"/>
        </w:rPr>
        <w:t xml:space="preserve"> bij voorkeur als tijdelijke opslag op dezelfde heffing.</w:t>
      </w:r>
    </w:p>
    <w:p w14:paraId="6CDA92BA" w14:textId="77777777" w:rsidR="00F739C1" w:rsidRPr="00440FA3" w:rsidRDefault="00F739C1" w:rsidP="00F739C1">
      <w:pPr>
        <w:pStyle w:val="Kop1"/>
        <w:rPr>
          <w:rFonts w:cs="Calibri"/>
          <w:sz w:val="22"/>
          <w:szCs w:val="22"/>
          <w:lang w:val="nl-NL"/>
        </w:rPr>
      </w:pPr>
      <w:r>
        <w:rPr>
          <w:rFonts w:cs="Calibri"/>
          <w:sz w:val="22"/>
          <w:szCs w:val="22"/>
          <w:lang w:val="nl-NL"/>
        </w:rPr>
        <w:lastRenderedPageBreak/>
        <w:t>7. Conclusie</w:t>
      </w:r>
    </w:p>
    <w:p w14:paraId="183BE5CE" w14:textId="77777777" w:rsidR="00F739C1" w:rsidRPr="00440FA3" w:rsidRDefault="00F739C1" w:rsidP="00F739C1">
      <w:pPr>
        <w:spacing w:after="140"/>
        <w:rPr>
          <w:rFonts w:ascii="Calibri" w:hAnsi="Calibri" w:cs="Calibri"/>
          <w:sz w:val="22"/>
          <w:lang w:val="nl-NL"/>
        </w:rPr>
      </w:pPr>
      <w:r>
        <w:rPr>
          <w:rFonts w:ascii="Calibri" w:hAnsi="Calibri" w:cs="Calibri"/>
          <w:sz w:val="22"/>
          <w:lang w:val="nl-NL"/>
        </w:rPr>
        <w:t>Warmte is de enige energiedrager die lokaal wordt afgerekend. Daardoor is het vastrecht de dealbreaker voor aansluiten en onder kostengebaseerde tarieven wordt dat erger.</w:t>
      </w:r>
    </w:p>
    <w:p w14:paraId="4CEBD73E" w14:textId="5D8B38F8" w:rsidR="00F739C1" w:rsidRPr="00440FA3" w:rsidRDefault="0061141F" w:rsidP="00F739C1">
      <w:pPr>
        <w:spacing w:after="140"/>
        <w:rPr>
          <w:rFonts w:ascii="Calibri" w:hAnsi="Calibri" w:cs="Calibri"/>
          <w:sz w:val="22"/>
          <w:lang w:val="nl-NL"/>
        </w:rPr>
      </w:pPr>
      <w:r>
        <w:rPr>
          <w:rFonts w:ascii="Calibri" w:hAnsi="Calibri" w:cs="Calibri"/>
          <w:sz w:val="22"/>
          <w:lang w:val="nl-NL"/>
        </w:rPr>
        <w:t xml:space="preserve">Een betaalbaar vastrecht van circa €548 per jaar in plaats van €828 verlaagt in dit voorstel het vaste bedrag op de warmterekening. De structurele vastrechtbijdrage vraagt </w:t>
      </w:r>
      <w:proofErr w:type="gramStart"/>
      <w:r>
        <w:rPr>
          <w:rFonts w:ascii="Calibri" w:hAnsi="Calibri" w:cs="Calibri"/>
          <w:sz w:val="22"/>
          <w:lang w:val="nl-NL"/>
        </w:rPr>
        <w:t>circa</w:t>
      </w:r>
      <w:proofErr w:type="gramEnd"/>
      <w:r>
        <w:rPr>
          <w:rFonts w:ascii="Calibri" w:hAnsi="Calibri" w:cs="Calibri"/>
          <w:sz w:val="22"/>
          <w:lang w:val="nl-NL"/>
        </w:rPr>
        <w:t xml:space="preserve"> €1,90 tot €3,30 per huishouden per maand. Inclusief de tijdelijke financiering van de onrendabele top is dat, afhankelijk van het aansluittempo, </w:t>
      </w:r>
      <w:proofErr w:type="gramStart"/>
      <w:r>
        <w:rPr>
          <w:rFonts w:ascii="Calibri" w:hAnsi="Calibri" w:cs="Calibri"/>
          <w:sz w:val="22"/>
          <w:lang w:val="nl-NL"/>
        </w:rPr>
        <w:t>circa</w:t>
      </w:r>
      <w:proofErr w:type="gramEnd"/>
      <w:r>
        <w:rPr>
          <w:rFonts w:ascii="Calibri" w:hAnsi="Calibri" w:cs="Calibri"/>
          <w:sz w:val="22"/>
          <w:lang w:val="nl-NL"/>
        </w:rPr>
        <w:t xml:space="preserve"> €2,90 tot €8,20. Beide lopen via dezelfde heffing, zonder structureel beroep op de Rijksbegroting, maar over de onrendabele top wordt apart besloten. Daar staat een maatschappelijke meerwaarde tegenover van dezelfde orde van grootte als de vastrechtbijdrage, plus de vermeden kosten van verdere netcongestie.</w:t>
      </w:r>
    </w:p>
    <w:p w14:paraId="0EAD4356" w14:textId="77777777" w:rsidR="00440FA3" w:rsidRPr="00440FA3" w:rsidRDefault="00440FA3" w:rsidP="00440FA3">
      <w:pPr>
        <w:spacing w:after="140"/>
        <w:rPr>
          <w:rFonts w:ascii="Calibri" w:hAnsi="Calibri" w:cs="Calibri"/>
          <w:sz w:val="22"/>
          <w:lang w:val="nl-NL"/>
        </w:rPr>
      </w:pPr>
      <w:r>
        <w:rPr>
          <w:rFonts w:ascii="Calibri" w:hAnsi="Calibri" w:cs="Calibri"/>
          <w:sz w:val="22"/>
          <w:lang w:val="nl-NL"/>
        </w:rPr>
        <w:t>Het voorstel vraagt om een expliciete beleidskeuze over de verdeling van kosten tussen warmteklanten, het bredere energiesysteem en de overheid, in samenhang met het gewenste tempo van nieuwe aansluitingen.</w:t>
      </w:r>
    </w:p>
    <w:p w14:paraId="27FCFD9B" w14:textId="77777777" w:rsidR="00F739C1" w:rsidRPr="00440FA3" w:rsidRDefault="00F739C1" w:rsidP="00F739C1">
      <w:pPr>
        <w:pStyle w:val="Kop1"/>
        <w:rPr>
          <w:rFonts w:cs="Calibri"/>
          <w:sz w:val="22"/>
          <w:szCs w:val="22"/>
          <w:lang w:val="nl-NL"/>
        </w:rPr>
      </w:pPr>
      <w:r>
        <w:rPr>
          <w:rFonts w:cs="Calibri"/>
          <w:sz w:val="22"/>
          <w:szCs w:val="22"/>
          <w:lang w:val="nl-NL"/>
        </w:rPr>
        <w:t>Bronnenregister</w:t>
      </w:r>
    </w:p>
    <w:p w14:paraId="2F99E21A"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[1] Frans Rooijers, </w:t>
      </w:r>
      <w:r>
        <w:rPr>
          <w:rFonts w:ascii="Calibri" w:hAnsi="Calibri" w:cs="Calibri"/>
          <w:i/>
          <w:iCs/>
          <w:sz w:val="22"/>
          <w:lang w:val="nl-NL"/>
        </w:rPr>
        <w:t>Verkenning Warmtebedrijven – Voldoende uitvoeringskracht</w:t>
      </w:r>
      <w:r>
        <w:rPr>
          <w:rFonts w:ascii="Calibri" w:hAnsi="Calibri" w:cs="Calibri"/>
          <w:sz w:val="22"/>
          <w:lang w:val="nl-NL"/>
        </w:rPr>
        <w:t>, december 2024. Gebruikt voor: impassefactoren, betaalbaarheid als voorwaarde, 500.000 extra aansluitingen, vier publieke bovenprovinciale warmtebedrijven.</w:t>
      </w:r>
    </w:p>
    <w:p w14:paraId="3D83BB2A"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[2] ACM, </w:t>
      </w:r>
      <w:r>
        <w:rPr>
          <w:rFonts w:ascii="Calibri" w:hAnsi="Calibri" w:cs="Calibri"/>
          <w:i/>
          <w:iCs/>
          <w:sz w:val="22"/>
          <w:lang w:val="nl-NL"/>
        </w:rPr>
        <w:t>ACM stelt maximale warmtetarieven 2026 vast</w:t>
      </w:r>
      <w:r>
        <w:rPr>
          <w:rFonts w:ascii="Calibri" w:hAnsi="Calibri" w:cs="Calibri"/>
          <w:sz w:val="22"/>
          <w:lang w:val="nl-NL"/>
        </w:rPr>
        <w:t>, december 2025. Gebruikt voor: maximum vaste kosten €827,91 en variabel tarief €40,97/GJ.</w:t>
      </w:r>
    </w:p>
    <w:p w14:paraId="01B00B2F"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[3] ACM, </w:t>
      </w:r>
      <w:r>
        <w:rPr>
          <w:rFonts w:ascii="Calibri" w:hAnsi="Calibri" w:cs="Calibri"/>
          <w:i/>
          <w:iCs/>
          <w:sz w:val="22"/>
          <w:lang w:val="nl-NL"/>
        </w:rPr>
        <w:t>Tarievenbesluit warmteleveranciers 2026</w:t>
      </w:r>
      <w:r>
        <w:rPr>
          <w:rFonts w:ascii="Calibri" w:hAnsi="Calibri" w:cs="Calibri"/>
          <w:sz w:val="22"/>
          <w:lang w:val="nl-NL"/>
        </w:rPr>
        <w:t xml:space="preserve"> en rekenmodel </w:t>
      </w:r>
      <w:r>
        <w:rPr>
          <w:rFonts w:ascii="Calibri" w:hAnsi="Calibri" w:cs="Calibri"/>
          <w:i/>
          <w:iCs/>
          <w:sz w:val="22"/>
          <w:lang w:val="nl-NL"/>
        </w:rPr>
        <w:t>Berekening leverings- en huurtarieven warmte 2026</w:t>
      </w:r>
      <w:r>
        <w:rPr>
          <w:rFonts w:ascii="Calibri" w:hAnsi="Calibri" w:cs="Calibri"/>
          <w:sz w:val="22"/>
          <w:lang w:val="nl-NL"/>
        </w:rPr>
        <w:t>. Gebruikt voor: NMDA-systematiek en opbouw van de maximumtarieven.</w:t>
      </w:r>
    </w:p>
    <w:p w14:paraId="59A9C424"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[5] L. Wittrock en P. Adriaansen (ACM), 'Tarieven van warmtenetten kunnen sterk uiteen gaan lopen', </w:t>
      </w:r>
      <w:r>
        <w:rPr>
          <w:rFonts w:ascii="Calibri" w:hAnsi="Calibri" w:cs="Calibri"/>
          <w:i/>
          <w:iCs/>
          <w:sz w:val="22"/>
          <w:lang w:val="nl-NL"/>
        </w:rPr>
        <w:t>ESB</w:t>
      </w:r>
      <w:r>
        <w:rPr>
          <w:rFonts w:ascii="Calibri" w:hAnsi="Calibri" w:cs="Calibri"/>
          <w:sz w:val="22"/>
          <w:lang w:val="nl-NL"/>
        </w:rPr>
        <w:t>, 5 augustus 2026.</w:t>
      </w:r>
    </w:p>
    <w:p w14:paraId="60D69084"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[6] CBS, </w:t>
      </w:r>
      <w:r>
        <w:rPr>
          <w:rFonts w:ascii="Calibri" w:hAnsi="Calibri" w:cs="Calibri"/>
          <w:i/>
          <w:iCs/>
          <w:sz w:val="22"/>
          <w:lang w:val="nl-NL"/>
        </w:rPr>
        <w:t>Verbeterd zicht op warmtenetten</w:t>
      </w:r>
      <w:r>
        <w:rPr>
          <w:rFonts w:ascii="Calibri" w:hAnsi="Calibri" w:cs="Calibri"/>
          <w:sz w:val="22"/>
          <w:lang w:val="nl-NL"/>
        </w:rPr>
        <w:t>, 2025. Gebruikt voor: aandelen stadswarmte per woningtype en bouwperiode.</w:t>
      </w:r>
    </w:p>
    <w:p w14:paraId="2272F6F7"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[7] Netbeheer Nederland, </w:t>
      </w:r>
      <w:r>
        <w:rPr>
          <w:rFonts w:ascii="Calibri" w:hAnsi="Calibri" w:cs="Calibri"/>
          <w:i/>
          <w:iCs/>
          <w:sz w:val="22"/>
          <w:lang w:val="nl-NL"/>
        </w:rPr>
        <w:t>Resultaten jaarlijkse meter-steekproef</w:t>
      </w:r>
      <w:r>
        <w:rPr>
          <w:rFonts w:ascii="Calibri" w:hAnsi="Calibri" w:cs="Calibri"/>
          <w:sz w:val="22"/>
          <w:lang w:val="nl-NL"/>
        </w:rPr>
        <w:t>, 9 mei 2025. Gebruikt voor: circa 8,5 miljoen woningen met een energiemeter, als benadering van het aantal huishoudelijke elektriciteitsaansluitingen.</w:t>
      </w:r>
    </w:p>
    <w:p w14:paraId="2F79217F"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[8] Netbeheer Nederland, </w:t>
      </w:r>
      <w:r>
        <w:rPr>
          <w:rFonts w:ascii="Calibri" w:hAnsi="Calibri" w:cs="Calibri"/>
          <w:i/>
          <w:iCs/>
          <w:sz w:val="22"/>
          <w:lang w:val="nl-NL"/>
        </w:rPr>
        <w:t>Achtergronddocument meta-analyse maatschappelijke (meer)waarde van warmtenetten</w:t>
      </w:r>
      <w:r>
        <w:rPr>
          <w:rFonts w:ascii="Calibri" w:hAnsi="Calibri" w:cs="Calibri"/>
          <w:sz w:val="22"/>
          <w:lang w:val="nl-NL"/>
        </w:rPr>
        <w:t>, 28 april 2025. Gebruikt voor: Berenschot (2024), CE Delft (2024) en Ecorys (2025).</w:t>
      </w:r>
    </w:p>
    <w:p w14:paraId="5506CEB7"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[9] Common Futures, </w:t>
      </w:r>
      <w:r>
        <w:rPr>
          <w:rFonts w:ascii="Calibri" w:hAnsi="Calibri" w:cs="Calibri"/>
          <w:i/>
          <w:iCs/>
          <w:sz w:val="22"/>
          <w:lang w:val="nl-NL"/>
        </w:rPr>
        <w:t>Nationale kosten van warmte voor woningen</w:t>
      </w:r>
      <w:r>
        <w:rPr>
          <w:rFonts w:ascii="Calibri" w:hAnsi="Calibri" w:cs="Calibri"/>
          <w:sz w:val="22"/>
          <w:lang w:val="nl-NL"/>
        </w:rPr>
        <w:t>, eindrapport voor Netbeheer Nederland en EBN, 13 oktober 2025.</w:t>
      </w:r>
    </w:p>
    <w:p w14:paraId="01352A8F"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[10] Verordening (EU) 2019/943, art. 18 lid 1, en HvJ EU 2 september 2021, C-718/18 (Commissie/Duitsland) over de onafhankelijkheid van de regulator bij het vaststellen van tariefmethoden.</w:t>
      </w:r>
    </w:p>
    <w:p w14:paraId="7C906B56" w14:textId="7BC23D2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[11] PBL, </w:t>
      </w:r>
      <w:r w:rsidRPr="009A7176">
        <w:rPr>
          <w:rFonts w:ascii="Calibri" w:hAnsi="Calibri" w:cs="Calibri"/>
          <w:i/>
          <w:iCs/>
          <w:sz w:val="22"/>
          <w:lang w:val="nl-NL"/>
        </w:rPr>
        <w:t>Actualisatie Startanalyse aardgasvrije buurten 2026</w:t>
      </w:r>
      <w:r>
        <w:rPr>
          <w:rFonts w:ascii="Calibri" w:hAnsi="Calibri" w:cs="Calibri"/>
          <w:sz w:val="22"/>
          <w:lang w:val="nl-NL"/>
        </w:rPr>
        <w:t xml:space="preserve">. Kernrapport met de nationale resultaten op hoofdlijnen, 7 oktober 2026, paragraaf 2.1, p. 17–18, figuur 2. De aansluitingen omvatten woningen en gebouwen in de dienstensector. De 2,3 miljoen MT/HT-aansluitingen zijn inclusief circa 450.000 bestaande aansluitingen. Bij bestaande warmtenetten beschouwt het model </w:t>
      </w:r>
      <w:r>
        <w:rPr>
          <w:rFonts w:ascii="Calibri" w:hAnsi="Calibri" w:cs="Calibri"/>
          <w:sz w:val="22"/>
          <w:lang w:val="nl-NL"/>
        </w:rPr>
        <w:lastRenderedPageBreak/>
        <w:t>andere warmteopties niet als alternatief.[13] Boston Consulting Group, onderzoek naar de maatschappelijke kosten van netcongestie in Nederland, oktober 2024 (zoals gerapporteerd door Consultancy.nl, 22 oktober 2024). Gebruikt voor: maatschappelijke kosten van netcongestie van €10–40 miljard per jaar.</w:t>
      </w:r>
    </w:p>
    <w:p w14:paraId="4B72CFB5"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 xml:space="preserve">[14] Ecorys, </w:t>
      </w:r>
      <w:r>
        <w:rPr>
          <w:rFonts w:ascii="Calibri" w:hAnsi="Calibri" w:cs="Calibri"/>
          <w:i/>
          <w:iCs/>
          <w:sz w:val="22"/>
          <w:lang w:val="nl-NL"/>
        </w:rPr>
        <w:t>Maatschappelijke kostprijs van netcongestie</w:t>
      </w:r>
      <w:r>
        <w:rPr>
          <w:rFonts w:ascii="Calibri" w:hAnsi="Calibri" w:cs="Calibri"/>
          <w:sz w:val="22"/>
          <w:lang w:val="nl-NL"/>
        </w:rPr>
        <w:t>, in opdracht van het ministerie van EZK (RVO), 29 april 2024. Gebruikt voor: maatschappelijke kostprijs per MWh niet-geleverde elektriciteit bij woningbouw.</w:t>
      </w:r>
    </w:p>
    <w:p w14:paraId="0E972A33"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[15] ACM, Rendementsmonitor warmteleveranciers 2024, 14 januari 2026. Gebruikt voor: 556.740 aansluitingen van vergunninghoudende warmteleveranciers eind 2024 en de schatting van ruim 700.000 direct of indirect aangesloten huishoudens.</w:t>
      </w:r>
    </w:p>
    <w:p w14:paraId="583A9907" w14:textId="77777777" w:rsidR="00F739C1" w:rsidRPr="00440FA3" w:rsidRDefault="00F739C1" w:rsidP="00F739C1">
      <w:pPr>
        <w:spacing w:after="80"/>
        <w:rPr>
          <w:rFonts w:ascii="Calibri" w:hAnsi="Calibri" w:cs="Calibri"/>
          <w:sz w:val="22"/>
          <w:lang w:val="nl-NL"/>
        </w:rPr>
      </w:pPr>
      <w:r>
        <w:rPr>
          <w:rFonts w:ascii="Calibri" w:hAnsi="Calibri" w:cs="Calibri"/>
          <w:sz w:val="22"/>
          <w:lang w:val="nl-NL"/>
        </w:rPr>
        <w:t>[16] Netbeheer Nederland, Financiële Impact Energietransitie Netbeheerders (FIEN+), uitgevoerd door Strategy&amp; (PwC), januari 2025 (zoals gerapporteerd door Solar Magazine en IO+). Gebruikt voor: nettarief elektriciteit voor een huishouden van circa €390 per jaar (2024) naar circa €1.103 per jaar (2040) in het basispad, een stijging van 5,2–8% per jaar.</w:t>
      </w:r>
    </w:p>
    <w:p w14:paraId="31B5D415" w14:textId="77777777" w:rsidR="00721B31" w:rsidRDefault="00974341">
      <w:pPr>
        <w:pStyle w:val="Kop1"/>
        <w:pageBreakBefore/>
        <w:rPr>
          <w:rFonts w:cs="Calibri"/>
          <w:sz w:val="22"/>
          <w:szCs w:val="22"/>
          <w:lang w:val="nl-NL"/>
        </w:rPr>
      </w:pPr>
      <w:r>
        <w:rPr>
          <w:rFonts w:cs="Calibri"/>
          <w:sz w:val="22"/>
          <w:szCs w:val="22"/>
          <w:lang w:val="nl-NL"/>
        </w:rPr>
        <w:lastRenderedPageBreak/>
        <w:t>Bijlage 1. Variant: onrendabele top financieren met een annuïteit</w:t>
      </w:r>
    </w:p>
    <w:p w14:paraId="2795F2FC" w14:textId="77777777" w:rsidR="00130ACE" w:rsidRPr="00440FA3" w:rsidRDefault="00130ACE" w:rsidP="00130ACE">
      <w:pPr>
        <w:spacing w:after="140"/>
        <w:rPr>
          <w:rFonts w:ascii="Calibri" w:hAnsi="Calibri" w:cs="Calibri"/>
          <w:sz w:val="22"/>
          <w:lang w:val="nl-NL"/>
        </w:rPr>
      </w:pPr>
      <w:r>
        <w:rPr>
          <w:rFonts w:ascii="Calibri" w:hAnsi="Calibri" w:cs="Calibri"/>
          <w:sz w:val="22"/>
          <w:lang w:val="nl-NL"/>
        </w:rPr>
        <w:t xml:space="preserve">De onrendabele top kan ook via een annuïteit worden gefinancierd. Bij een annuïteit wordt de €10.000 omgezet in een jaarbedrag per aansluiting: €510–580 per jaar over 30 jaar, bij 3–4% </w:t>
      </w:r>
      <w:r w:rsidR="00AE3733">
        <w:rPr>
          <w:rFonts w:ascii="Calibri" w:hAnsi="Calibri" w:cs="Calibri"/>
          <w:sz w:val="22"/>
          <w:lang w:val="nl-NL"/>
        </w:rPr>
        <w:t xml:space="preserve">reële </w:t>
      </w:r>
      <w:r>
        <w:rPr>
          <w:rFonts w:ascii="Calibri" w:hAnsi="Calibri" w:cs="Calibri"/>
          <w:sz w:val="22"/>
          <w:lang w:val="nl-NL"/>
        </w:rPr>
        <w:t>rente.</w:t>
      </w:r>
      <w:r w:rsidR="00AE3733">
        <w:rPr>
          <w:rFonts w:ascii="Calibri" w:hAnsi="Calibri" w:cs="Calibri"/>
          <w:sz w:val="22"/>
          <w:lang w:val="nl-NL"/>
        </w:rPr>
        <w:t xml:space="preserve"> </w:t>
      </w:r>
      <w:r w:rsidR="00AE3733" w:rsidRPr="009A7176">
        <w:rPr>
          <w:rFonts w:ascii="Calibri" w:hAnsi="Calibri" w:cs="Calibri"/>
          <w:sz w:val="22"/>
          <w:lang w:val="nl-NL"/>
        </w:rPr>
        <w:t>Net als de andere bedragen in deze whitepaper is dat in prijspeil 2026</w:t>
      </w:r>
      <w:r w:rsidR="00860319">
        <w:rPr>
          <w:rFonts w:ascii="Calibri" w:hAnsi="Calibri" w:cs="Calibri"/>
          <w:sz w:val="22"/>
          <w:lang w:val="nl-NL"/>
        </w:rPr>
        <w:t>. E</w:t>
      </w:r>
      <w:r w:rsidR="00AE3733" w:rsidRPr="009A7176">
        <w:rPr>
          <w:rFonts w:ascii="Calibri" w:hAnsi="Calibri" w:cs="Calibri"/>
          <w:sz w:val="22"/>
          <w:lang w:val="nl-NL"/>
        </w:rPr>
        <w:t xml:space="preserve">en reële rente van 3–4% komt bij 2% inflatie overeen met </w:t>
      </w:r>
      <w:proofErr w:type="gramStart"/>
      <w:r w:rsidR="00AE3733" w:rsidRPr="009A7176">
        <w:rPr>
          <w:rFonts w:ascii="Calibri" w:hAnsi="Calibri" w:cs="Calibri"/>
          <w:sz w:val="22"/>
          <w:lang w:val="nl-NL"/>
        </w:rPr>
        <w:t>circa</w:t>
      </w:r>
      <w:proofErr w:type="gramEnd"/>
      <w:r w:rsidR="00AE3733" w:rsidRPr="009A7176">
        <w:rPr>
          <w:rFonts w:ascii="Calibri" w:hAnsi="Calibri" w:cs="Calibri"/>
          <w:sz w:val="22"/>
          <w:lang w:val="nl-NL"/>
        </w:rPr>
        <w:t xml:space="preserve"> 5–6% nominaal.</w:t>
      </w:r>
      <w:r>
        <w:rPr>
          <w:rFonts w:ascii="Calibri" w:hAnsi="Calibri" w:cs="Calibri"/>
          <w:sz w:val="22"/>
          <w:lang w:val="nl-NL"/>
        </w:rPr>
        <w:t xml:space="preserve"> Samen met een vastrechtbijdrage van €280 gaat het rekenkundig om </w:t>
      </w:r>
      <w:proofErr w:type="gramStart"/>
      <w:r>
        <w:rPr>
          <w:rFonts w:ascii="Calibri" w:hAnsi="Calibri" w:cs="Calibri"/>
          <w:sz w:val="22"/>
          <w:lang w:val="nl-NL"/>
        </w:rPr>
        <w:t>circa</w:t>
      </w:r>
      <w:proofErr w:type="gramEnd"/>
      <w:r>
        <w:rPr>
          <w:rFonts w:ascii="Calibri" w:hAnsi="Calibri" w:cs="Calibri"/>
          <w:sz w:val="22"/>
          <w:lang w:val="nl-NL"/>
        </w:rPr>
        <w:t xml:space="preserve"> €790–860 per nieuwe aansluiting per jaar, mits beide posten zonder dubbeltelling zijn bepaald. Dit illustreert hoe sterk een jaarlijkse financieringslast op de betaalbaarheid kan drukken. Als financieringsmodel heeft de annuïteit bovendien een nadeel: de lasten lopen op zolang het bestand groeit en blijven decennia doorlopen, ook als de transitie klaar is.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00"/>
        <w:gridCol w:w="1950"/>
        <w:gridCol w:w="1950"/>
        <w:gridCol w:w="2260"/>
      </w:tblGrid>
      <w:tr w:rsidR="00F739C1" w:rsidRPr="00583771" w14:paraId="13D09CDC" w14:textId="77777777" w:rsidTr="00F04BD9">
        <w:trPr>
          <w:cantSplit/>
          <w:tblHeader/>
        </w:trPr>
        <w:tc>
          <w:tcPr>
            <w:tcW w:w="15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3E9780B8" w14:textId="77777777" w:rsidR="00F739C1" w:rsidRPr="00440FA3" w:rsidRDefault="00F739C1" w:rsidP="00F04BD9">
            <w:pPr>
              <w:keepNext/>
              <w:rPr>
                <w:rFonts w:ascii="Calibri" w:hAnsi="Calibri" w:cs="Calibri"/>
                <w:sz w:val="22"/>
              </w:rPr>
            </w:pPr>
            <w:r>
              <w:rPr>
                <w:rFonts w:ascii="Calibri" w:hAnsi="Calibri" w:cs="Calibri"/>
                <w:b/>
                <w:bCs/>
                <w:sz w:val="22"/>
              </w:rPr>
              <w:t>Nieuwe aansluitingen per jaar</w:t>
            </w:r>
          </w:p>
        </w:tc>
        <w:tc>
          <w:tcPr>
            <w:tcW w:w="17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5531DE25" w14:textId="77777777" w:rsidR="00F739C1" w:rsidRPr="00440FA3" w:rsidRDefault="00F739C1" w:rsidP="00F04BD9">
            <w:pPr>
              <w:keepNext/>
              <w:rPr>
                <w:rFonts w:ascii="Calibri" w:hAnsi="Calibri" w:cs="Calibri"/>
                <w:sz w:val="22"/>
                <w:lang w:val="nl-NL"/>
              </w:rPr>
            </w:pPr>
            <w:r>
              <w:rPr>
                <w:rFonts w:ascii="Calibri" w:hAnsi="Calibri" w:cs="Calibri"/>
                <w:b/>
                <w:bCs/>
                <w:sz w:val="22"/>
                <w:lang w:val="nl-NL"/>
              </w:rPr>
              <w:t>Onrendabele top (B) per jaar</w:t>
            </w:r>
          </w:p>
        </w:tc>
        <w:tc>
          <w:tcPr>
            <w:tcW w:w="195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75242055" w14:textId="77777777" w:rsidR="00F739C1" w:rsidRPr="00440FA3" w:rsidRDefault="00F739C1" w:rsidP="00F04BD9">
            <w:pPr>
              <w:keepNext/>
              <w:rPr>
                <w:rFonts w:ascii="Calibri" w:hAnsi="Calibri" w:cs="Calibri"/>
                <w:sz w:val="22"/>
                <w:lang w:val="nl-NL"/>
              </w:rPr>
            </w:pPr>
            <w:r>
              <w:rPr>
                <w:rFonts w:ascii="Calibri" w:hAnsi="Calibri" w:cs="Calibri"/>
                <w:b/>
                <w:bCs/>
                <w:sz w:val="22"/>
                <w:lang w:val="nl-NL"/>
              </w:rPr>
              <w:t>Vastrechtbijdrage (A) start → na 10 jaar</w:t>
            </w:r>
          </w:p>
        </w:tc>
        <w:tc>
          <w:tcPr>
            <w:tcW w:w="195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05F9567E" w14:textId="533523C2" w:rsidR="00F739C1" w:rsidRPr="00440FA3" w:rsidRDefault="00F739C1" w:rsidP="00F04BD9">
            <w:pPr>
              <w:keepNext/>
              <w:rPr>
                <w:rFonts w:ascii="Calibri" w:hAnsi="Calibri" w:cs="Calibri"/>
                <w:sz w:val="22"/>
                <w:lang w:val="nl-NL"/>
              </w:rPr>
            </w:pPr>
            <w:r>
              <w:rPr>
                <w:rFonts w:ascii="Calibri" w:hAnsi="Calibri" w:cs="Calibri"/>
                <w:b/>
                <w:bCs/>
                <w:sz w:val="22"/>
                <w:lang w:val="nl-NL"/>
              </w:rPr>
              <w:t>Per E-aansluiting per maand, alleen A (start → na 10 jaar)</w:t>
            </w:r>
          </w:p>
        </w:tc>
        <w:tc>
          <w:tcPr>
            <w:tcW w:w="22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tcPr>
          <w:p w14:paraId="4977CBC2" w14:textId="38A9A0FE" w:rsidR="00F739C1" w:rsidRPr="00440FA3" w:rsidRDefault="00F739C1" w:rsidP="00F04BD9">
            <w:pPr>
              <w:keepNext/>
              <w:rPr>
                <w:rFonts w:ascii="Calibri" w:hAnsi="Calibri" w:cs="Calibri"/>
                <w:sz w:val="22"/>
                <w:lang w:val="nl-NL"/>
              </w:rPr>
            </w:pPr>
            <w:r>
              <w:rPr>
                <w:rFonts w:ascii="Calibri" w:hAnsi="Calibri" w:cs="Calibri"/>
                <w:b/>
                <w:bCs/>
                <w:sz w:val="22"/>
                <w:lang w:val="nl-NL"/>
              </w:rPr>
              <w:t>Per E-aansluiting per maand, A + B (start → na 10 jaar)</w:t>
            </w:r>
          </w:p>
        </w:tc>
      </w:tr>
      <w:tr w:rsidR="00FE03CB" w:rsidRPr="00583771" w14:paraId="367F0793" w14:textId="77777777">
        <w:trPr>
          <w:cantSplit/>
        </w:trPr>
        <w:tc>
          <w:tcPr>
            <w:tcW w:w="9360" w:type="dxa"/>
            <w:gridSpan w:val="5"/>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14:paraId="451E4D0F" w14:textId="5E92101B" w:rsidR="00FE03CB" w:rsidRPr="008B1BEA" w:rsidRDefault="00DB7A8C">
            <w:pPr>
              <w:keepNext/>
              <w:rPr>
                <w:rFonts w:ascii="Calibri" w:hAnsi="Calibri" w:cs="Calibri"/>
                <w:sz w:val="22"/>
                <w:lang w:val="nl-NL"/>
              </w:rPr>
            </w:pPr>
            <w:r>
              <w:rPr>
                <w:rFonts w:ascii="Calibri" w:hAnsi="Calibri" w:cs="Calibri"/>
                <w:b/>
                <w:bCs/>
                <w:i/>
                <w:iCs/>
                <w:sz w:val="22"/>
                <w:lang w:val="nl-NL"/>
              </w:rPr>
              <w:t>Variant: onrendabele top gekapitaliseerd (annuïteit, 30 jaar, 3,5% reëel)</w:t>
            </w:r>
          </w:p>
        </w:tc>
      </w:tr>
      <w:tr w:rsidR="00FE03CB" w14:paraId="63390546"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252650C" w14:textId="77777777" w:rsidR="00FE03CB" w:rsidRDefault="00DB7A8C">
            <w:pPr>
              <w:keepNext/>
              <w:rPr>
                <w:rFonts w:ascii="Calibri" w:hAnsi="Calibri" w:cs="Calibri"/>
                <w:sz w:val="22"/>
              </w:rPr>
            </w:pPr>
            <w:r>
              <w:rPr>
                <w:rFonts w:ascii="Calibri" w:hAnsi="Calibri" w:cs="Calibri"/>
                <w:sz w:val="22"/>
              </w:rPr>
              <w:t>10.000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DFB649C" w14:textId="77777777" w:rsidR="00FE03CB" w:rsidRDefault="00DB7A8C">
            <w:pPr>
              <w:keepNext/>
              <w:jc w:val="right"/>
              <w:rPr>
                <w:rFonts w:ascii="Calibri" w:hAnsi="Calibri" w:cs="Calibri"/>
                <w:sz w:val="22"/>
              </w:rPr>
            </w:pPr>
            <w:r>
              <w:rPr>
                <w:rFonts w:ascii="Calibri" w:hAnsi="Calibri" w:cs="Calibri"/>
                <w:sz w:val="22"/>
              </w:rPr>
              <w:t>€5 → €54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04F9A0C" w14:textId="77777777" w:rsidR="00FE03CB" w:rsidRDefault="00DB7A8C">
            <w:pPr>
              <w:keepNext/>
              <w:jc w:val="right"/>
              <w:rPr>
                <w:rFonts w:ascii="Calibri" w:hAnsi="Calibri" w:cs="Calibri"/>
                <w:sz w:val="22"/>
              </w:rPr>
            </w:pPr>
            <w:r>
              <w:rPr>
                <w:rFonts w:ascii="Calibri" w:hAnsi="Calibri" w:cs="Calibri"/>
                <w:sz w:val="22"/>
              </w:rPr>
              <w:t>€196 → €224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8D5B56B" w14:textId="2480C1DD" w:rsidR="00FE03CB" w:rsidRDefault="00DB7A8C">
            <w:pPr>
              <w:keepNext/>
              <w:jc w:val="right"/>
              <w:rPr>
                <w:rFonts w:ascii="Calibri" w:hAnsi="Calibri" w:cs="Calibri"/>
                <w:sz w:val="22"/>
              </w:rPr>
            </w:pPr>
            <w:r>
              <w:rPr>
                <w:rFonts w:ascii="Calibri" w:hAnsi="Calibri" w:cs="Calibri"/>
                <w:sz w:val="22"/>
              </w:rPr>
              <w:t>€1,92 → €2,20</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99DBBC3" w14:textId="77777777" w:rsidR="00FE03CB" w:rsidRDefault="00DB7A8C">
            <w:pPr>
              <w:keepNext/>
              <w:jc w:val="right"/>
              <w:rPr>
                <w:rFonts w:ascii="Calibri" w:hAnsi="Calibri" w:cs="Calibri"/>
                <w:sz w:val="22"/>
              </w:rPr>
            </w:pPr>
            <w:r>
              <w:rPr>
                <w:rFonts w:ascii="Calibri" w:hAnsi="Calibri" w:cs="Calibri"/>
                <w:sz w:val="22"/>
              </w:rPr>
              <w:t>€1,97 → €2,73</w:t>
            </w:r>
          </w:p>
        </w:tc>
      </w:tr>
      <w:tr w:rsidR="00FE03CB" w14:paraId="490E7986"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D8C3BAD" w14:textId="77777777" w:rsidR="00FE03CB" w:rsidRDefault="00DB7A8C">
            <w:pPr>
              <w:keepNext/>
              <w:rPr>
                <w:rFonts w:ascii="Calibri" w:hAnsi="Calibri" w:cs="Calibri"/>
                <w:sz w:val="22"/>
              </w:rPr>
            </w:pPr>
            <w:r>
              <w:rPr>
                <w:rFonts w:ascii="Calibri" w:hAnsi="Calibri" w:cs="Calibri"/>
                <w:sz w:val="22"/>
              </w:rPr>
              <w:t>20.000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DA2F3F" w14:textId="77777777" w:rsidR="00FE03CB" w:rsidRDefault="00DB7A8C">
            <w:pPr>
              <w:keepNext/>
              <w:jc w:val="right"/>
              <w:rPr>
                <w:rFonts w:ascii="Calibri" w:hAnsi="Calibri" w:cs="Calibri"/>
                <w:sz w:val="22"/>
              </w:rPr>
            </w:pPr>
            <w:r>
              <w:rPr>
                <w:rFonts w:ascii="Calibri" w:hAnsi="Calibri" w:cs="Calibri"/>
                <w:sz w:val="22"/>
              </w:rPr>
              <w:t>€11 → €109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8533DBA" w14:textId="77777777" w:rsidR="00FE03CB" w:rsidRDefault="00DB7A8C">
            <w:pPr>
              <w:keepNext/>
              <w:jc w:val="right"/>
              <w:rPr>
                <w:rFonts w:ascii="Calibri" w:hAnsi="Calibri" w:cs="Calibri"/>
                <w:sz w:val="22"/>
              </w:rPr>
            </w:pPr>
            <w:r>
              <w:rPr>
                <w:rFonts w:ascii="Calibri" w:hAnsi="Calibri" w:cs="Calibri"/>
                <w:sz w:val="22"/>
              </w:rPr>
              <w:t>€196 → €252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741177" w14:textId="7A99FDE5" w:rsidR="00FE03CB" w:rsidRDefault="00DB7A8C">
            <w:pPr>
              <w:keepNext/>
              <w:jc w:val="right"/>
              <w:rPr>
                <w:rFonts w:ascii="Calibri" w:hAnsi="Calibri" w:cs="Calibri"/>
                <w:sz w:val="22"/>
              </w:rPr>
            </w:pPr>
            <w:r>
              <w:rPr>
                <w:rFonts w:ascii="Calibri" w:hAnsi="Calibri" w:cs="Calibri"/>
                <w:sz w:val="22"/>
              </w:rPr>
              <w:t>€1,92 → €2,47</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CED6AC" w14:textId="77777777" w:rsidR="00FE03CB" w:rsidRDefault="00DB7A8C">
            <w:pPr>
              <w:keepNext/>
              <w:jc w:val="right"/>
              <w:rPr>
                <w:rFonts w:ascii="Calibri" w:hAnsi="Calibri" w:cs="Calibri"/>
                <w:sz w:val="22"/>
              </w:rPr>
            </w:pPr>
            <w:r>
              <w:rPr>
                <w:rFonts w:ascii="Calibri" w:hAnsi="Calibri" w:cs="Calibri"/>
                <w:sz w:val="22"/>
              </w:rPr>
              <w:t>€2,03 → €3,54</w:t>
            </w:r>
          </w:p>
        </w:tc>
      </w:tr>
      <w:tr w:rsidR="00FE03CB" w14:paraId="3735AC3C"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B58D907" w14:textId="77777777" w:rsidR="00FE03CB" w:rsidRDefault="00DB7A8C">
            <w:pPr>
              <w:keepNext/>
              <w:rPr>
                <w:rFonts w:ascii="Calibri" w:hAnsi="Calibri" w:cs="Calibri"/>
                <w:sz w:val="22"/>
              </w:rPr>
            </w:pPr>
            <w:r>
              <w:rPr>
                <w:rFonts w:ascii="Calibri" w:hAnsi="Calibri" w:cs="Calibri"/>
                <w:sz w:val="22"/>
              </w:rPr>
              <w:t>30.000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8AC918" w14:textId="77777777" w:rsidR="00FE03CB" w:rsidRDefault="00DB7A8C">
            <w:pPr>
              <w:keepNext/>
              <w:jc w:val="right"/>
              <w:rPr>
                <w:rFonts w:ascii="Calibri" w:hAnsi="Calibri" w:cs="Calibri"/>
                <w:sz w:val="22"/>
              </w:rPr>
            </w:pPr>
            <w:r>
              <w:rPr>
                <w:rFonts w:ascii="Calibri" w:hAnsi="Calibri" w:cs="Calibri"/>
                <w:sz w:val="22"/>
              </w:rPr>
              <w:t>€16 → €163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51789C" w14:textId="77777777" w:rsidR="00FE03CB" w:rsidRDefault="00DB7A8C">
            <w:pPr>
              <w:keepNext/>
              <w:jc w:val="right"/>
              <w:rPr>
                <w:rFonts w:ascii="Calibri" w:hAnsi="Calibri" w:cs="Calibri"/>
                <w:sz w:val="22"/>
              </w:rPr>
            </w:pPr>
            <w:r>
              <w:rPr>
                <w:rFonts w:ascii="Calibri" w:hAnsi="Calibri" w:cs="Calibri"/>
                <w:sz w:val="22"/>
              </w:rPr>
              <w:t>€196 → €280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8CB8D0" w14:textId="00AE2664" w:rsidR="00FE03CB" w:rsidRDefault="00DB7A8C">
            <w:pPr>
              <w:keepNext/>
              <w:jc w:val="right"/>
              <w:rPr>
                <w:rFonts w:ascii="Calibri" w:hAnsi="Calibri" w:cs="Calibri"/>
                <w:sz w:val="22"/>
              </w:rPr>
            </w:pPr>
            <w:r>
              <w:rPr>
                <w:rFonts w:ascii="Calibri" w:hAnsi="Calibri" w:cs="Calibri"/>
                <w:sz w:val="22"/>
              </w:rPr>
              <w:t>€1,92 → €2,75</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29AC99E" w14:textId="77777777" w:rsidR="00FE03CB" w:rsidRDefault="00DB7A8C">
            <w:pPr>
              <w:keepNext/>
              <w:jc w:val="right"/>
              <w:rPr>
                <w:rFonts w:ascii="Calibri" w:hAnsi="Calibri" w:cs="Calibri"/>
                <w:sz w:val="22"/>
              </w:rPr>
            </w:pPr>
            <w:r>
              <w:rPr>
                <w:rFonts w:ascii="Calibri" w:hAnsi="Calibri" w:cs="Calibri"/>
                <w:sz w:val="22"/>
              </w:rPr>
              <w:t>€2,08 → €4,34</w:t>
            </w:r>
          </w:p>
        </w:tc>
      </w:tr>
      <w:tr w:rsidR="00FE03CB" w14:paraId="545FBBDC"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1D3AC3" w14:textId="77777777" w:rsidR="00FE03CB" w:rsidRDefault="00DB7A8C">
            <w:pPr>
              <w:rPr>
                <w:rFonts w:ascii="Calibri" w:hAnsi="Calibri" w:cs="Calibri"/>
                <w:sz w:val="22"/>
              </w:rPr>
            </w:pPr>
            <w:r>
              <w:rPr>
                <w:rFonts w:ascii="Calibri" w:hAnsi="Calibri" w:cs="Calibri"/>
                <w:sz w:val="22"/>
              </w:rPr>
              <w:t>50.000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6410D2" w14:textId="77777777" w:rsidR="00FE03CB" w:rsidRDefault="00DB7A8C">
            <w:pPr>
              <w:jc w:val="right"/>
              <w:rPr>
                <w:rFonts w:ascii="Calibri" w:hAnsi="Calibri" w:cs="Calibri"/>
                <w:sz w:val="22"/>
              </w:rPr>
            </w:pPr>
            <w:r>
              <w:rPr>
                <w:rFonts w:ascii="Calibri" w:hAnsi="Calibri" w:cs="Calibri"/>
                <w:sz w:val="22"/>
              </w:rPr>
              <w:t>€27 → €272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E63B28" w14:textId="77777777" w:rsidR="00FE03CB" w:rsidRDefault="00DB7A8C">
            <w:pPr>
              <w:jc w:val="right"/>
              <w:rPr>
                <w:rFonts w:ascii="Calibri" w:hAnsi="Calibri" w:cs="Calibri"/>
                <w:sz w:val="22"/>
              </w:rPr>
            </w:pPr>
            <w:r>
              <w:rPr>
                <w:rFonts w:ascii="Calibri" w:hAnsi="Calibri" w:cs="Calibri"/>
                <w:sz w:val="22"/>
              </w:rPr>
              <w:t>€196 → €336 mln</w:t>
            </w:r>
          </w:p>
        </w:tc>
        <w:tc>
          <w:tcPr>
            <w:tcW w:w="195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78328B" w14:textId="340388E5" w:rsidR="00FE03CB" w:rsidRDefault="00DB7A8C">
            <w:pPr>
              <w:jc w:val="right"/>
              <w:rPr>
                <w:rFonts w:ascii="Calibri" w:hAnsi="Calibri" w:cs="Calibri"/>
                <w:sz w:val="22"/>
              </w:rPr>
            </w:pPr>
            <w:r>
              <w:rPr>
                <w:rFonts w:ascii="Calibri" w:hAnsi="Calibri" w:cs="Calibri"/>
                <w:sz w:val="22"/>
              </w:rPr>
              <w:t>€1,92 → €3,29</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B37BD22" w14:textId="77777777" w:rsidR="00FE03CB" w:rsidRDefault="00DB7A8C">
            <w:pPr>
              <w:jc w:val="right"/>
              <w:rPr>
                <w:rFonts w:ascii="Calibri" w:hAnsi="Calibri" w:cs="Calibri"/>
                <w:sz w:val="22"/>
              </w:rPr>
            </w:pPr>
            <w:r>
              <w:rPr>
                <w:rFonts w:ascii="Calibri" w:hAnsi="Calibri" w:cs="Calibri"/>
                <w:sz w:val="22"/>
              </w:rPr>
              <w:t>€2,19 → €5,96</w:t>
            </w:r>
          </w:p>
        </w:tc>
      </w:tr>
    </w:tbl>
    <w:p w14:paraId="77B6C029" w14:textId="06A7865F" w:rsidR="00F739C1" w:rsidRPr="00440FA3" w:rsidRDefault="00F739C1" w:rsidP="00F739C1">
      <w:pPr>
        <w:spacing w:before="60" w:after="200"/>
        <w:rPr>
          <w:rFonts w:ascii="Calibri" w:hAnsi="Calibri" w:cs="Calibri"/>
          <w:sz w:val="22"/>
          <w:lang w:val="nl-NL"/>
        </w:rPr>
      </w:pPr>
      <w:r>
        <w:rPr>
          <w:rFonts w:ascii="Calibri" w:hAnsi="Calibri" w:cs="Calibri"/>
          <w:color w:val="595959"/>
          <w:sz w:val="22"/>
          <w:lang w:val="nl-NL"/>
        </w:rPr>
        <w:t>Aannames: vastrechtbijdrage €280,24 per aansluiting per jaar (prijspeil 2026, constant), onrendabele top €10.000 per nieuwe aansluiting bovenop bestaande regelingen, bestaand bestand ruim 700.000 huishoudens en omslag over 8,5 mln huishoudelijke elektriciteitsaansluitingen, zonder kleinzakelijke aansluitingen. Worden die wel meegenomen, dan daalt het bedrag per aansluiting naar verhouding. In de variant wordt de onrendabele top per aansluiting gekapitaliseerd en als annuïteit over 30 jaar bij een reële rente van 3,5% omgeslagen (</w:t>
      </w:r>
      <w:proofErr w:type="gramStart"/>
      <w:r>
        <w:rPr>
          <w:rFonts w:ascii="Calibri" w:hAnsi="Calibri" w:cs="Calibri"/>
          <w:color w:val="595959"/>
          <w:sz w:val="22"/>
          <w:lang w:val="nl-NL"/>
        </w:rPr>
        <w:t>circa</w:t>
      </w:r>
      <w:proofErr w:type="gramEnd"/>
      <w:r>
        <w:rPr>
          <w:rFonts w:ascii="Calibri" w:hAnsi="Calibri" w:cs="Calibri"/>
          <w:color w:val="595959"/>
          <w:sz w:val="22"/>
          <w:lang w:val="nl-NL"/>
        </w:rPr>
        <w:t xml:space="preserve"> 5,5% nominaal bij 2% inflatie, passend bij financiering tegen marktvoorwaarden): </w:t>
      </w:r>
      <w:proofErr w:type="gramStart"/>
      <w:r>
        <w:rPr>
          <w:rFonts w:ascii="Calibri" w:hAnsi="Calibri" w:cs="Calibri"/>
          <w:color w:val="595959"/>
          <w:sz w:val="22"/>
          <w:lang w:val="nl-NL"/>
        </w:rPr>
        <w:t>circa</w:t>
      </w:r>
      <w:proofErr w:type="gramEnd"/>
      <w:r>
        <w:rPr>
          <w:rFonts w:ascii="Calibri" w:hAnsi="Calibri" w:cs="Calibri"/>
          <w:color w:val="595959"/>
          <w:sz w:val="22"/>
          <w:lang w:val="nl-NL"/>
        </w:rPr>
        <w:t xml:space="preserve"> €544 per aansluiting per jaar. De vastrechtbijdrage is in beide varianten gelijk. Financiert de staat de onrendabele top voor, tegen circa 3,85% nominaal voor 30-jarig geld (oktober 2026) of circa 1,8% reëel, dan is de annuïteit circa €435 per aansluiting per jaar. De bijdrage inclusief onrendabele top daalt dan bij 30.000 aansluitingen per jaar na tien jaar van circa €4,34 naar circa €4,05 per maand.</w:t>
      </w:r>
    </w:p>
    <w:p w14:paraId="38F6CB8C" w14:textId="77777777" w:rsidR="00FE03CB" w:rsidRDefault="00DB7A8C">
      <w:pPr>
        <w:keepLines/>
        <w:spacing w:after="140"/>
        <w:rPr>
          <w:rFonts w:ascii="Calibri" w:hAnsi="Calibri" w:cs="Calibri"/>
          <w:sz w:val="22"/>
          <w:lang w:val="nl-NL"/>
        </w:rPr>
      </w:pPr>
      <w:r>
        <w:rPr>
          <w:rFonts w:ascii="Calibri" w:hAnsi="Calibri" w:cs="Calibri"/>
          <w:b/>
          <w:bCs/>
          <w:sz w:val="22"/>
          <w:lang w:val="nl-NL"/>
        </w:rPr>
        <w:lastRenderedPageBreak/>
        <w:t xml:space="preserve">Variant: onrendabele top kapitaliseren. </w:t>
      </w:r>
      <w:r>
        <w:rPr>
          <w:rFonts w:ascii="Calibri" w:hAnsi="Calibri" w:cs="Calibri"/>
          <w:sz w:val="22"/>
          <w:lang w:val="nl-NL"/>
        </w:rPr>
        <w:t>Wordt de onrendabele top niet in het jaar van aansluiten omgeslagen, maar gekapitaliseerd en over 30 jaar terugbetaald, dan is de bijdrage in de beginjaren veel lager. Bij 30.000 aansluitingen per jaar start die op circa €2,10 per maand in plaats van €4,90, en ligt ze na tien jaar met circa €4,30 nog onder de €5. Daar staan drie nadelen tegenover. Ten eerste valt post B na afronding van de uitrol niet weg: bij tien jaar aansluiten in dit tempo blijft circa €163 miljoen per jaar doorlopen, dat pas na 30 jaar geleidelijk afloopt. Houdt het tempo langer dan circa achttien jaar aan, dan ligt post B zelfs hoger dan bij de jaarlijkse omslag. Ten tweede is de totale last door de rente hoger: circa €4,9 miljard tegenover €3,0 miljard. Contant gemaakt tegen dezelfde rente is dat verschil nul; het is de prijs van later betalen. Ten derde moet iemand de investering voorfinancieren, bijvoorbeeld een warmtefonds, het Rijk of de netbeheerders. De variant maakt de start dus lichter, maar verschuift de last naar later.</w:t>
      </w:r>
    </w:p>
    <w:p w14:paraId="6EEB8E00" w14:textId="77777777" w:rsidR="00EC0FDA" w:rsidRPr="00F739C1" w:rsidRDefault="00EC0FDA">
      <w:pPr>
        <w:rPr>
          <w:lang w:val="nl-NL"/>
        </w:rPr>
      </w:pPr>
    </w:p>
    <w:p w14:paraId="5DB39587" w14:textId="77777777" w:rsidR="00B06989" w:rsidRPr="00F739C1" w:rsidRDefault="00B06989">
      <w:pPr>
        <w:rPr>
          <w:lang w:val="nl-NL"/>
        </w:rPr>
      </w:pPr>
    </w:p>
    <w:p w14:paraId="4D7C3BE0" w14:textId="77777777" w:rsidR="00E12837" w:rsidRPr="00F739C1" w:rsidRDefault="00E12837">
      <w:pPr>
        <w:rPr>
          <w:lang w:val="nl-NL"/>
        </w:rPr>
      </w:pPr>
    </w:p>
    <w:p w14:paraId="3211E66E" w14:textId="77777777" w:rsidR="00E12837" w:rsidRPr="00F739C1" w:rsidRDefault="00E12837">
      <w:pPr>
        <w:rPr>
          <w:lang w:val="nl-NL"/>
        </w:rPr>
      </w:pPr>
    </w:p>
    <w:p w14:paraId="73C1CC92" w14:textId="77777777" w:rsidR="00E12837" w:rsidRPr="00F739C1" w:rsidRDefault="00E12837">
      <w:pPr>
        <w:rPr>
          <w:lang w:val="nl-NL"/>
        </w:rPr>
      </w:pPr>
    </w:p>
    <w:p w14:paraId="6CD1E93C" w14:textId="77777777" w:rsidR="00E12837" w:rsidRPr="00F739C1" w:rsidRDefault="00E12837">
      <w:pPr>
        <w:rPr>
          <w:lang w:val="nl-NL"/>
        </w:rPr>
      </w:pPr>
    </w:p>
    <w:p w14:paraId="4BED87BA" w14:textId="77777777" w:rsidR="00E12837" w:rsidRPr="00F739C1" w:rsidRDefault="00E12837">
      <w:pPr>
        <w:rPr>
          <w:lang w:val="nl-NL"/>
        </w:rPr>
      </w:pPr>
    </w:p>
    <w:p w14:paraId="727CB7D2" w14:textId="77777777" w:rsidR="00E12837" w:rsidRPr="00F739C1" w:rsidRDefault="00E12837">
      <w:pPr>
        <w:rPr>
          <w:lang w:val="nl-NL"/>
        </w:rPr>
      </w:pPr>
    </w:p>
    <w:p w14:paraId="35A4D78B" w14:textId="77777777" w:rsidR="00E12837" w:rsidRPr="00F739C1" w:rsidRDefault="00E12837">
      <w:pPr>
        <w:rPr>
          <w:lang w:val="nl-NL"/>
        </w:rPr>
      </w:pPr>
    </w:p>
    <w:p w14:paraId="0FEDCAD6" w14:textId="77777777" w:rsidR="00363692" w:rsidRPr="00F739C1" w:rsidRDefault="00363692">
      <w:pPr>
        <w:rPr>
          <w:lang w:val="nl-NL"/>
        </w:rPr>
      </w:pPr>
    </w:p>
    <w:p w14:paraId="308B3754" w14:textId="77777777" w:rsidR="00363692" w:rsidRPr="00F739C1" w:rsidRDefault="00363692">
      <w:pPr>
        <w:rPr>
          <w:lang w:val="nl-NL"/>
        </w:rPr>
      </w:pPr>
    </w:p>
    <w:p w14:paraId="67D66535" w14:textId="77777777" w:rsidR="00DD5B46" w:rsidRPr="00F739C1" w:rsidRDefault="00DD5B46">
      <w:pPr>
        <w:rPr>
          <w:lang w:val="nl-NL"/>
        </w:rPr>
      </w:pPr>
    </w:p>
    <w:p w14:paraId="26F59E56" w14:textId="77777777" w:rsidR="00DD5B46" w:rsidRPr="00F739C1" w:rsidRDefault="00DD5B46">
      <w:pPr>
        <w:rPr>
          <w:lang w:val="nl-NL"/>
        </w:rPr>
      </w:pPr>
    </w:p>
    <w:p w14:paraId="37C81B4A" w14:textId="77777777" w:rsidR="00DD5B46" w:rsidRPr="00F739C1" w:rsidRDefault="00DD5B46">
      <w:pPr>
        <w:rPr>
          <w:lang w:val="nl-NL"/>
        </w:rPr>
      </w:pPr>
    </w:p>
    <w:p w14:paraId="12CBBBC1" w14:textId="77777777" w:rsidR="00DD5B46" w:rsidRPr="00F739C1" w:rsidRDefault="00DD5B46">
      <w:pPr>
        <w:rPr>
          <w:lang w:val="nl-NL"/>
        </w:rPr>
      </w:pPr>
    </w:p>
    <w:p w14:paraId="2CEE94BC" w14:textId="77777777" w:rsidR="00E12837" w:rsidRPr="00F739C1" w:rsidRDefault="00E12837">
      <w:pPr>
        <w:rPr>
          <w:lang w:val="nl-NL"/>
        </w:rPr>
      </w:pPr>
    </w:p>
    <w:p w14:paraId="57CCBDEC" w14:textId="77777777" w:rsidR="00E12837" w:rsidRPr="00F739C1" w:rsidRDefault="00E12837">
      <w:pPr>
        <w:rPr>
          <w:lang w:val="nl-NL"/>
        </w:rPr>
      </w:pPr>
    </w:p>
    <w:sectPr w:rsidR="00E12837" w:rsidRPr="00F739C1" w:rsidSect="00A93FD7">
      <w:headerReference w:type="even" r:id="rId12"/>
      <w:headerReference w:type="default" r:id="rId13"/>
      <w:footerReference w:type="default" r:id="rId14"/>
      <w:headerReference w:type="first" r:id="rId15"/>
      <w:footerReference w:type="first" r:id="rId16"/>
      <w:pgSz w:w="11900" w:h="16840"/>
      <w:pgMar w:top="1701" w:right="1418" w:bottom="816" w:left="1418"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0FE02" w14:textId="77777777" w:rsidR="006F390C" w:rsidRDefault="006F390C" w:rsidP="00A93FD7">
      <w:pPr>
        <w:spacing w:line="240" w:lineRule="auto"/>
      </w:pPr>
      <w:r>
        <w:separator/>
      </w:r>
    </w:p>
  </w:endnote>
  <w:endnote w:type="continuationSeparator" w:id="0">
    <w:p w14:paraId="4BBB8B31" w14:textId="77777777" w:rsidR="006F390C" w:rsidRDefault="006F390C" w:rsidP="00A93F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Hoofdtekst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1DBB" w14:textId="77777777" w:rsidR="00A93FD7" w:rsidRDefault="00A93FD7" w:rsidP="00A93FD7">
    <w:pPr>
      <w:pStyle w:val="Voettekst"/>
      <w:jc w:val="right"/>
    </w:pPr>
  </w:p>
  <w:sdt>
    <w:sdtPr>
      <w:alias w:val="Process Code"/>
      <w:tag w:val="psa_ProcessCode"/>
      <w:id w:val="122740520"/>
      <w:showingPlcHdr/>
      <w:text/>
    </w:sdtPr>
    <w:sdtEndPr/>
    <w:sdtContent>
      <w:p w14:paraId="4BFE97E7" w14:textId="77777777" w:rsidR="00A93FD7" w:rsidRDefault="0024575E" w:rsidP="00A93FD7">
        <w:pPr>
          <w:pStyle w:val="Voettekst"/>
          <w:jc w:val="right"/>
        </w:pPr>
        <w:r>
          <w:t xml:space="preserve">     </w:t>
        </w:r>
      </w:p>
    </w:sdtContent>
  </w:sdt>
  <w:p w14:paraId="01165442" w14:textId="77777777" w:rsidR="00A93FD7" w:rsidRPr="00A93FD7" w:rsidRDefault="00A93FD7" w:rsidP="00A93FD7">
    <w:pPr>
      <w:pStyle w:val="Voettekst"/>
      <w:jc w:val="right"/>
      <w:rPr>
        <w:b/>
        <w:color w:val="63666A"/>
      </w:rPr>
    </w:pPr>
    <w:r w:rsidRPr="00956EFE">
      <w:rPr>
        <w:color w:val="63666A"/>
      </w:rPr>
      <w:t>Pag</w:t>
    </w:r>
    <w:r w:rsidR="00DD5D87">
      <w:rPr>
        <w:color w:val="63666A"/>
      </w:rPr>
      <w:t>ina</w:t>
    </w:r>
    <w:r w:rsidRPr="00956EFE">
      <w:rPr>
        <w:color w:val="63666A"/>
      </w:rPr>
      <w:t xml:space="preserve"> </w:t>
    </w:r>
    <w:r w:rsidRPr="00956EFE">
      <w:rPr>
        <w:b/>
        <w:color w:val="63666A"/>
        <w:sz w:val="24"/>
      </w:rPr>
      <w:fldChar w:fldCharType="begin"/>
    </w:r>
    <w:r w:rsidRPr="00956EFE">
      <w:rPr>
        <w:b/>
        <w:color w:val="63666A"/>
      </w:rPr>
      <w:instrText xml:space="preserve"> PAGE </w:instrText>
    </w:r>
    <w:r w:rsidRPr="00956EFE">
      <w:rPr>
        <w:b/>
        <w:color w:val="63666A"/>
        <w:sz w:val="24"/>
      </w:rPr>
      <w:fldChar w:fldCharType="separate"/>
    </w:r>
    <w:r>
      <w:rPr>
        <w:b/>
        <w:color w:val="63666A"/>
        <w:sz w:val="24"/>
      </w:rPr>
      <w:t>2</w:t>
    </w:r>
    <w:r w:rsidRPr="00956EFE">
      <w:rPr>
        <w:b/>
        <w:color w:val="63666A"/>
        <w:sz w:val="24"/>
      </w:rPr>
      <w:fldChar w:fldCharType="end"/>
    </w:r>
    <w:r w:rsidRPr="00956EFE">
      <w:rPr>
        <w:color w:val="63666A"/>
      </w:rPr>
      <w:t xml:space="preserve"> </w:t>
    </w:r>
    <w:r w:rsidR="00EC0FDA">
      <w:rPr>
        <w:color w:val="63666A"/>
      </w:rPr>
      <w:t>van</w:t>
    </w:r>
    <w:r w:rsidRPr="00956EFE">
      <w:rPr>
        <w:color w:val="63666A"/>
      </w:rPr>
      <w:t xml:space="preserve"> </w:t>
    </w:r>
    <w:r w:rsidRPr="00956EFE">
      <w:rPr>
        <w:b/>
        <w:color w:val="63666A"/>
        <w:sz w:val="24"/>
      </w:rPr>
      <w:fldChar w:fldCharType="begin"/>
    </w:r>
    <w:r w:rsidRPr="00956EFE">
      <w:rPr>
        <w:b/>
        <w:color w:val="63666A"/>
      </w:rPr>
      <w:instrText xml:space="preserve"> NUMPAGES  </w:instrText>
    </w:r>
    <w:r w:rsidRPr="00956EFE">
      <w:rPr>
        <w:b/>
        <w:color w:val="63666A"/>
        <w:sz w:val="24"/>
      </w:rPr>
      <w:fldChar w:fldCharType="separate"/>
    </w:r>
    <w:r>
      <w:rPr>
        <w:b/>
        <w:color w:val="63666A"/>
        <w:sz w:val="24"/>
      </w:rPr>
      <w:t>2</w:t>
    </w:r>
    <w:r w:rsidRPr="00956EFE">
      <w:rPr>
        <w:b/>
        <w:color w:val="63666A"/>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8CAC" w14:textId="77777777" w:rsidR="00A93FD7" w:rsidRDefault="00A93FD7" w:rsidP="00A93FD7">
    <w:pPr>
      <w:pStyle w:val="Voettekst"/>
      <w:jc w:val="center"/>
      <w:rPr>
        <w:rFonts w:ascii="Calibri" w:hAnsi="Calibri" w:cs="Times New Roman (Hoofdtekst CS)"/>
        <w:b/>
        <w:color w:val="7F7F7F" w:themeColor="text1" w:themeTint="80"/>
        <w:w w:val="105"/>
        <w:szCs w:val="18"/>
      </w:rPr>
    </w:pPr>
  </w:p>
  <w:p w14:paraId="55BB8E01" w14:textId="77777777" w:rsidR="00A93FD7" w:rsidRDefault="00A93FD7" w:rsidP="00A93FD7">
    <w:pPr>
      <w:pStyle w:val="Voettekst"/>
      <w:jc w:val="center"/>
      <w:rPr>
        <w:rFonts w:ascii="Calibri" w:hAnsi="Calibri" w:cs="Times New Roman (Hoofdtekst CS)"/>
        <w:b/>
        <w:color w:val="7F7F7F" w:themeColor="text1" w:themeTint="80"/>
        <w:w w:val="105"/>
        <w:szCs w:val="18"/>
      </w:rPr>
    </w:pPr>
  </w:p>
  <w:p w14:paraId="1743AF62" w14:textId="77777777" w:rsidR="00A93FD7" w:rsidRPr="00F94BF9" w:rsidRDefault="00215D5E" w:rsidP="00F94BF9">
    <w:pPr>
      <w:pStyle w:val="Voettekst"/>
      <w:jc w:val="center"/>
      <w:rPr>
        <w:color w:val="7F7F7F" w:themeColor="text1" w:themeTint="80"/>
        <w:sz w:val="20"/>
        <w:szCs w:val="20"/>
        <w:lang w:val="en-US"/>
      </w:rPr>
    </w:pPr>
    <w:r w:rsidRPr="00087291">
      <w:rPr>
        <w:noProof/>
        <w:color w:val="7F7F7F" w:themeColor="text1" w:themeTint="80"/>
        <w:sz w:val="20"/>
        <w:szCs w:val="20"/>
        <w:lang w:val="en-US"/>
      </w:rPr>
      <mc:AlternateContent>
        <mc:Choice Requires="wps">
          <w:drawing>
            <wp:anchor distT="45720" distB="45720" distL="114300" distR="114300" simplePos="0" relativeHeight="251659264" behindDoc="0" locked="0" layoutInCell="1" allowOverlap="1" wp14:anchorId="19FBF5E6" wp14:editId="1E8BDD96">
              <wp:simplePos x="0" y="0"/>
              <wp:positionH relativeFrom="leftMargin">
                <wp:posOffset>5941060</wp:posOffset>
              </wp:positionH>
              <wp:positionV relativeFrom="page">
                <wp:posOffset>9001125</wp:posOffset>
              </wp:positionV>
              <wp:extent cx="2361600" cy="277200"/>
              <wp:effectExtent l="0" t="635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361600" cy="277200"/>
                      </a:xfrm>
                      <a:prstGeom prst="rect">
                        <a:avLst/>
                      </a:prstGeom>
                      <a:solidFill>
                        <a:srgbClr val="FFFFFF"/>
                      </a:solidFill>
                      <a:ln w="9525">
                        <a:noFill/>
                        <a:miter lim="800000"/>
                        <a:headEnd/>
                        <a:tailEnd/>
                      </a:ln>
                    </wps:spPr>
                    <wps:txbx>
                      <w:txbxContent>
                        <w:sdt>
                          <w:sdtPr>
                            <w:alias w:val="Document ID Value"/>
                            <w:tag w:val="_dlc_DocId"/>
                            <w:id w:val="-1266069545"/>
                            <w:lock w:val="contentLocked"/>
                            <w:placeholder>
                              <w:docPart w:val="579CAAC45D004B069AB3BB53E68F7C4E"/>
                            </w:placeholder>
                            <w:text/>
                          </w:sdtPr>
                          <w:sdtEndPr/>
                          <w:sdtContent>
                            <w:p w14:paraId="5ACC03B5" w14:textId="77777777" w:rsidR="00215D5E" w:rsidRDefault="004045D5">
                              <w:r>
                                <w:t>FKTNO365-659035983-541</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9FBF5E6" id="_x0000_t202" coordsize="21600,21600" o:spt="202" path="m,l,21600r21600,l21600,xe">
              <v:stroke joinstyle="miter"/>
              <v:path gradientshapeok="t" o:connecttype="rect"/>
            </v:shapetype>
            <v:shape id="Text Box 2" o:spid="_x0000_s1026" type="#_x0000_t202" style="position:absolute;left:0;text-align:left;margin-left:467.8pt;margin-top:708.75pt;width:185.95pt;height:21.85pt;rotation:90;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" stroked="f">
              <v:textbox style="mso-fit-shape-to-text:t">
                <w:txbxContent>
                  <w:sdt>
                    <w:sdtPr>
                      <w:alias w:val="Document ID Value"/>
                      <w:tag w:val="_dlc_DocId"/>
                      <w:id w:val="-1266069545"/>
                      <w:lock w:val="contentLocked"/>
                      <w:placeholder>
                        <w:docPart w:val="579CAAC45D004B069AB3BB53E68F7C4E"/>
                      </w:placeholder>
                      <w:text/>
                    </w:sdtPr>
                    <w:sdtEndPr/>
                    <w:sdtContent>
                      <w:p w14:paraId="5ACC03B5" w14:textId="77777777" w:rsidR="00215D5E" w:rsidRDefault="004045D5">
                        <w:r>
                          <w:t>FKTNO365-659035983-541</w:t>
                        </w:r>
                      </w:p>
                    </w:sdtContent>
                  </w:sdt>
                </w:txbxContent>
              </v:textbox>
              <w10:wrap anchorx="margin" anchory="page"/>
            </v:shape>
          </w:pict>
        </mc:Fallback>
      </mc:AlternateContent>
    </w:r>
    <w:r w:rsidR="00F94BF9" w:rsidRPr="00761E23">
      <w:rPr>
        <w:color w:val="7F7F7F" w:themeColor="text1" w:themeTint="80"/>
        <w:sz w:val="20"/>
        <w:szCs w:val="20"/>
        <w:lang w:val="en-US"/>
      </w:rPr>
      <w:t>Real people. Financial strategies. Resilient places.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18E02" w14:textId="77777777" w:rsidR="006F390C" w:rsidRDefault="006F390C" w:rsidP="00A93FD7">
      <w:pPr>
        <w:spacing w:line="240" w:lineRule="auto"/>
      </w:pPr>
      <w:r>
        <w:separator/>
      </w:r>
    </w:p>
  </w:footnote>
  <w:footnote w:type="continuationSeparator" w:id="0">
    <w:p w14:paraId="5F994F7F" w14:textId="77777777" w:rsidR="006F390C" w:rsidRDefault="006F390C" w:rsidP="00A93F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C044" w14:textId="31D58411" w:rsidR="00F739C1" w:rsidRDefault="00F739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FA4AC" w14:textId="67385F1C" w:rsidR="00A93FD7" w:rsidRPr="00363692" w:rsidRDefault="00363692" w:rsidP="00363692">
    <w:pPr>
      <w:jc w:val="center"/>
      <w:rPr>
        <w:color w:val="7F7F7F" w:themeColor="text1" w:themeTint="80"/>
        <w:spacing w:val="20"/>
      </w:rPr>
    </w:pPr>
    <w:r>
      <w:rPr>
        <w:noProof/>
      </w:rPr>
      <w:drawing>
        <wp:anchor distT="0" distB="0" distL="114300" distR="114300" simplePos="0" relativeHeight="251661312" behindDoc="0" locked="0" layoutInCell="1" allowOverlap="1" wp14:anchorId="4720243B" wp14:editId="687B1381">
          <wp:simplePos x="0" y="0"/>
          <wp:positionH relativeFrom="column">
            <wp:posOffset>3472180</wp:posOffset>
          </wp:positionH>
          <wp:positionV relativeFrom="paragraph">
            <wp:posOffset>7620</wp:posOffset>
          </wp:positionV>
          <wp:extent cx="143510" cy="153670"/>
          <wp:effectExtent l="0" t="0" r="889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drawing&#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 cy="153670"/>
                  </a:xfrm>
                  <a:prstGeom prst="rect">
                    <a:avLst/>
                  </a:prstGeom>
                  <a:noFill/>
                </pic:spPr>
              </pic:pic>
            </a:graphicData>
          </a:graphic>
          <wp14:sizeRelH relativeFrom="page">
            <wp14:pctWidth>0</wp14:pctWidth>
          </wp14:sizeRelH>
          <wp14:sizeRelV relativeFrom="page">
            <wp14:pctHeight>0</wp14:pctHeight>
          </wp14:sizeRelV>
        </wp:anchor>
      </w:drawing>
    </w:r>
    <w:r>
      <w:rPr>
        <w:b/>
        <w:bCs/>
        <w:color w:val="7F7F7F" w:themeColor="text1" w:themeTint="80"/>
        <w:spacing w:val="20"/>
      </w:rPr>
      <w:t>FAKTON</w:t>
    </w:r>
    <w:r>
      <w:rPr>
        <w:color w:val="7F7F7F" w:themeColor="text1" w:themeTint="80"/>
        <w:spacing w:val="20"/>
      </w:rPr>
      <w:t xml:space="preserve"> ENERGY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0702" w14:textId="7DA4AEDE" w:rsidR="00A93FD7" w:rsidRDefault="005B02B1" w:rsidP="00A93FD7">
    <w:pPr>
      <w:pStyle w:val="Koptekst"/>
      <w:jc w:val="right"/>
    </w:pPr>
    <w:r>
      <w:rPr>
        <w:noProof/>
      </w:rPr>
      <w:drawing>
        <wp:inline distT="0" distB="0" distL="0" distR="0" wp14:anchorId="2331FF6B" wp14:editId="50207B38">
          <wp:extent cx="1299600" cy="669491"/>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kton-Energy-rgb_Tekengebied 1.png"/>
                  <pic:cNvPicPr/>
                </pic:nvPicPr>
                <pic:blipFill>
                  <a:blip r:embed="rId1">
                    <a:extLst>
                      <a:ext uri="{28A0092B-C50C-407E-A947-70E740481C1C}">
                        <a14:useLocalDpi xmlns:a14="http://schemas.microsoft.com/office/drawing/2010/main" val="0"/>
                      </a:ext>
                    </a:extLst>
                  </a:blip>
                  <a:stretch>
                    <a:fillRect/>
                  </a:stretch>
                </pic:blipFill>
                <pic:spPr>
                  <a:xfrm>
                    <a:off x="0" y="0"/>
                    <a:ext cx="1299600" cy="6694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F3343"/>
    <w:multiLevelType w:val="hybridMultilevel"/>
    <w:tmpl w:val="C0C4D028"/>
    <w:lvl w:ilvl="0" w:tplc="35E864AE">
      <w:start w:val="1"/>
      <w:numFmt w:val="bullet"/>
      <w:lvlText w:val="•"/>
      <w:lvlJc w:val="left"/>
      <w:pPr>
        <w:ind w:left="360" w:hanging="260"/>
      </w:pPr>
    </w:lvl>
    <w:lvl w:ilvl="1" w:tplc="DEBA0AB2">
      <w:numFmt w:val="decimal"/>
      <w:lvlText w:val=""/>
      <w:lvlJc w:val="left"/>
    </w:lvl>
    <w:lvl w:ilvl="2" w:tplc="94366408">
      <w:numFmt w:val="decimal"/>
      <w:lvlText w:val=""/>
      <w:lvlJc w:val="left"/>
    </w:lvl>
    <w:lvl w:ilvl="3" w:tplc="1A7A2DAE">
      <w:numFmt w:val="decimal"/>
      <w:lvlText w:val=""/>
      <w:lvlJc w:val="left"/>
    </w:lvl>
    <w:lvl w:ilvl="4" w:tplc="E968EC54">
      <w:numFmt w:val="decimal"/>
      <w:lvlText w:val=""/>
      <w:lvlJc w:val="left"/>
    </w:lvl>
    <w:lvl w:ilvl="5" w:tplc="FDDECF02">
      <w:numFmt w:val="decimal"/>
      <w:lvlText w:val=""/>
      <w:lvlJc w:val="left"/>
    </w:lvl>
    <w:lvl w:ilvl="6" w:tplc="260855A4">
      <w:numFmt w:val="decimal"/>
      <w:lvlText w:val=""/>
      <w:lvlJc w:val="left"/>
    </w:lvl>
    <w:lvl w:ilvl="7" w:tplc="0520FEE0">
      <w:numFmt w:val="decimal"/>
      <w:lvlText w:val=""/>
      <w:lvlJc w:val="left"/>
    </w:lvl>
    <w:lvl w:ilvl="8" w:tplc="823A5BA0">
      <w:numFmt w:val="decimal"/>
      <w:lvlText w:val=""/>
      <w:lvlJc w:val="left"/>
    </w:lvl>
  </w:abstractNum>
  <w:num w:numId="1" w16cid:durableId="5244452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892"/>
    <w:rsid w:val="00007D86"/>
    <w:rsid w:val="00012555"/>
    <w:rsid w:val="000143A7"/>
    <w:rsid w:val="00027D52"/>
    <w:rsid w:val="00041217"/>
    <w:rsid w:val="00050106"/>
    <w:rsid w:val="00053A45"/>
    <w:rsid w:val="00053C4D"/>
    <w:rsid w:val="00054E10"/>
    <w:rsid w:val="000610EB"/>
    <w:rsid w:val="00072A48"/>
    <w:rsid w:val="000776F8"/>
    <w:rsid w:val="00094C37"/>
    <w:rsid w:val="000A06CD"/>
    <w:rsid w:val="000B51BA"/>
    <w:rsid w:val="000B5569"/>
    <w:rsid w:val="000D1206"/>
    <w:rsid w:val="000E2C04"/>
    <w:rsid w:val="000E3845"/>
    <w:rsid w:val="00104B2D"/>
    <w:rsid w:val="001140A0"/>
    <w:rsid w:val="001251D1"/>
    <w:rsid w:val="001267B0"/>
    <w:rsid w:val="00130ACE"/>
    <w:rsid w:val="001458A1"/>
    <w:rsid w:val="00147FE3"/>
    <w:rsid w:val="00163DE2"/>
    <w:rsid w:val="00191FD6"/>
    <w:rsid w:val="00192121"/>
    <w:rsid w:val="001B33EE"/>
    <w:rsid w:val="001B6F4C"/>
    <w:rsid w:val="001C3F60"/>
    <w:rsid w:val="001C7A98"/>
    <w:rsid w:val="001D340E"/>
    <w:rsid w:val="001D56B1"/>
    <w:rsid w:val="001D5CCC"/>
    <w:rsid w:val="001E62B5"/>
    <w:rsid w:val="001E72F1"/>
    <w:rsid w:val="001F27AE"/>
    <w:rsid w:val="00213AAF"/>
    <w:rsid w:val="00214FDB"/>
    <w:rsid w:val="00215D5E"/>
    <w:rsid w:val="00222D6A"/>
    <w:rsid w:val="0022598D"/>
    <w:rsid w:val="00235585"/>
    <w:rsid w:val="00237EBF"/>
    <w:rsid w:val="0024575E"/>
    <w:rsid w:val="002511D5"/>
    <w:rsid w:val="00253883"/>
    <w:rsid w:val="002744D8"/>
    <w:rsid w:val="00280AB0"/>
    <w:rsid w:val="00291F85"/>
    <w:rsid w:val="002A5F22"/>
    <w:rsid w:val="002C3804"/>
    <w:rsid w:val="002E4C35"/>
    <w:rsid w:val="002F0365"/>
    <w:rsid w:val="002F2BB7"/>
    <w:rsid w:val="002F7144"/>
    <w:rsid w:val="00326613"/>
    <w:rsid w:val="00340B56"/>
    <w:rsid w:val="00340D44"/>
    <w:rsid w:val="003518F8"/>
    <w:rsid w:val="00363692"/>
    <w:rsid w:val="00373050"/>
    <w:rsid w:val="003842FE"/>
    <w:rsid w:val="003A0DC9"/>
    <w:rsid w:val="003A745E"/>
    <w:rsid w:val="003B2B8F"/>
    <w:rsid w:val="003D2F37"/>
    <w:rsid w:val="003E0E3B"/>
    <w:rsid w:val="003E18DD"/>
    <w:rsid w:val="003E5961"/>
    <w:rsid w:val="00402602"/>
    <w:rsid w:val="004045D5"/>
    <w:rsid w:val="004151C5"/>
    <w:rsid w:val="00420345"/>
    <w:rsid w:val="00420997"/>
    <w:rsid w:val="00440FA3"/>
    <w:rsid w:val="00455178"/>
    <w:rsid w:val="00460BEB"/>
    <w:rsid w:val="00467DD9"/>
    <w:rsid w:val="004812F4"/>
    <w:rsid w:val="00483FD4"/>
    <w:rsid w:val="004A087C"/>
    <w:rsid w:val="004A4D0A"/>
    <w:rsid w:val="004C172B"/>
    <w:rsid w:val="004C64EB"/>
    <w:rsid w:val="004D0E9F"/>
    <w:rsid w:val="004F0D31"/>
    <w:rsid w:val="0050320D"/>
    <w:rsid w:val="00515B9F"/>
    <w:rsid w:val="00516064"/>
    <w:rsid w:val="00522A41"/>
    <w:rsid w:val="005505D8"/>
    <w:rsid w:val="00563AA2"/>
    <w:rsid w:val="00566493"/>
    <w:rsid w:val="00572831"/>
    <w:rsid w:val="00583771"/>
    <w:rsid w:val="00595024"/>
    <w:rsid w:val="005A09BC"/>
    <w:rsid w:val="005A2839"/>
    <w:rsid w:val="005A52D2"/>
    <w:rsid w:val="005A53ED"/>
    <w:rsid w:val="005A5648"/>
    <w:rsid w:val="005A678A"/>
    <w:rsid w:val="005B02B1"/>
    <w:rsid w:val="005C281F"/>
    <w:rsid w:val="005C5134"/>
    <w:rsid w:val="005C70E7"/>
    <w:rsid w:val="005F79CF"/>
    <w:rsid w:val="0061141F"/>
    <w:rsid w:val="00633FA2"/>
    <w:rsid w:val="00640270"/>
    <w:rsid w:val="006746B0"/>
    <w:rsid w:val="006B073B"/>
    <w:rsid w:val="006B26DD"/>
    <w:rsid w:val="006C2129"/>
    <w:rsid w:val="006E55D5"/>
    <w:rsid w:val="006F3746"/>
    <w:rsid w:val="006F390C"/>
    <w:rsid w:val="006F4E11"/>
    <w:rsid w:val="00721B31"/>
    <w:rsid w:val="00764C6D"/>
    <w:rsid w:val="007808CB"/>
    <w:rsid w:val="007C5A43"/>
    <w:rsid w:val="007D5C51"/>
    <w:rsid w:val="008030F1"/>
    <w:rsid w:val="008059DC"/>
    <w:rsid w:val="00813443"/>
    <w:rsid w:val="008243D1"/>
    <w:rsid w:val="0083022A"/>
    <w:rsid w:val="00830582"/>
    <w:rsid w:val="00860319"/>
    <w:rsid w:val="00862864"/>
    <w:rsid w:val="00884E82"/>
    <w:rsid w:val="008A6D45"/>
    <w:rsid w:val="008B1BEA"/>
    <w:rsid w:val="008C2FC2"/>
    <w:rsid w:val="008F4C36"/>
    <w:rsid w:val="008F7FF9"/>
    <w:rsid w:val="00901B04"/>
    <w:rsid w:val="00916A9F"/>
    <w:rsid w:val="00934910"/>
    <w:rsid w:val="00936AC2"/>
    <w:rsid w:val="00946B61"/>
    <w:rsid w:val="00955807"/>
    <w:rsid w:val="00960DB1"/>
    <w:rsid w:val="00974341"/>
    <w:rsid w:val="00992B57"/>
    <w:rsid w:val="0099470F"/>
    <w:rsid w:val="009A2536"/>
    <w:rsid w:val="009A4908"/>
    <w:rsid w:val="009A7176"/>
    <w:rsid w:val="009A75D3"/>
    <w:rsid w:val="009B36FB"/>
    <w:rsid w:val="009C3079"/>
    <w:rsid w:val="009C4BF8"/>
    <w:rsid w:val="00A006A9"/>
    <w:rsid w:val="00A07910"/>
    <w:rsid w:val="00A424DF"/>
    <w:rsid w:val="00A55A19"/>
    <w:rsid w:val="00A61B69"/>
    <w:rsid w:val="00A6581E"/>
    <w:rsid w:val="00A74618"/>
    <w:rsid w:val="00A747FD"/>
    <w:rsid w:val="00A93FD7"/>
    <w:rsid w:val="00A97359"/>
    <w:rsid w:val="00AA00B4"/>
    <w:rsid w:val="00AA300B"/>
    <w:rsid w:val="00AA4135"/>
    <w:rsid w:val="00AB55AD"/>
    <w:rsid w:val="00AC1FE3"/>
    <w:rsid w:val="00AD11B2"/>
    <w:rsid w:val="00AE3733"/>
    <w:rsid w:val="00B03177"/>
    <w:rsid w:val="00B06989"/>
    <w:rsid w:val="00B25BD1"/>
    <w:rsid w:val="00B37A7B"/>
    <w:rsid w:val="00B40FC7"/>
    <w:rsid w:val="00B47A58"/>
    <w:rsid w:val="00B5634F"/>
    <w:rsid w:val="00B661AC"/>
    <w:rsid w:val="00B662B1"/>
    <w:rsid w:val="00B82040"/>
    <w:rsid w:val="00B84A10"/>
    <w:rsid w:val="00BA5703"/>
    <w:rsid w:val="00BB4406"/>
    <w:rsid w:val="00BC0419"/>
    <w:rsid w:val="00BC4A7C"/>
    <w:rsid w:val="00BE75D8"/>
    <w:rsid w:val="00C1264A"/>
    <w:rsid w:val="00C15D03"/>
    <w:rsid w:val="00C17892"/>
    <w:rsid w:val="00C20056"/>
    <w:rsid w:val="00C2596B"/>
    <w:rsid w:val="00C343C0"/>
    <w:rsid w:val="00C515F5"/>
    <w:rsid w:val="00C74E12"/>
    <w:rsid w:val="00C96E59"/>
    <w:rsid w:val="00CB3E42"/>
    <w:rsid w:val="00CB544B"/>
    <w:rsid w:val="00CC2847"/>
    <w:rsid w:val="00CC32D9"/>
    <w:rsid w:val="00CD5DD6"/>
    <w:rsid w:val="00CE3CF2"/>
    <w:rsid w:val="00CE5919"/>
    <w:rsid w:val="00CF7EEC"/>
    <w:rsid w:val="00D01A33"/>
    <w:rsid w:val="00D66BC2"/>
    <w:rsid w:val="00D91488"/>
    <w:rsid w:val="00DA04ED"/>
    <w:rsid w:val="00DA5B5F"/>
    <w:rsid w:val="00DB7A8C"/>
    <w:rsid w:val="00DD5B46"/>
    <w:rsid w:val="00DD5D87"/>
    <w:rsid w:val="00DF6842"/>
    <w:rsid w:val="00E02904"/>
    <w:rsid w:val="00E12837"/>
    <w:rsid w:val="00E16188"/>
    <w:rsid w:val="00E17465"/>
    <w:rsid w:val="00E4624A"/>
    <w:rsid w:val="00E46EDA"/>
    <w:rsid w:val="00E64BDB"/>
    <w:rsid w:val="00E804FD"/>
    <w:rsid w:val="00E84321"/>
    <w:rsid w:val="00E8637E"/>
    <w:rsid w:val="00EA3C26"/>
    <w:rsid w:val="00EA6787"/>
    <w:rsid w:val="00EB6A56"/>
    <w:rsid w:val="00EC0FDA"/>
    <w:rsid w:val="00EE051A"/>
    <w:rsid w:val="00EE690B"/>
    <w:rsid w:val="00F033A5"/>
    <w:rsid w:val="00F2628E"/>
    <w:rsid w:val="00F3298E"/>
    <w:rsid w:val="00F36F69"/>
    <w:rsid w:val="00F672E0"/>
    <w:rsid w:val="00F739C1"/>
    <w:rsid w:val="00F80495"/>
    <w:rsid w:val="00F87F12"/>
    <w:rsid w:val="00F94BF9"/>
    <w:rsid w:val="00FA3397"/>
    <w:rsid w:val="00FB0F73"/>
    <w:rsid w:val="00FB429F"/>
    <w:rsid w:val="00FB5D3A"/>
    <w:rsid w:val="00FC5C9B"/>
    <w:rsid w:val="00FD1E8F"/>
    <w:rsid w:val="00FE03CB"/>
    <w:rsid w:val="00FE0D9C"/>
    <w:rsid w:val="00FE1F70"/>
    <w:rsid w:val="00FE3D59"/>
    <w:rsid w:val="00FE3D6E"/>
    <w:rsid w:val="00FE77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5EBCD"/>
  <w15:chartTrackingRefBased/>
  <w15:docId w15:val="{B81F159B-F612-4287-945E-FD561CE48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2A48"/>
    <w:pPr>
      <w:spacing w:line="276" w:lineRule="auto"/>
    </w:pPr>
    <w:rPr>
      <w:rFonts w:ascii="Calibri Light" w:eastAsiaTheme="minorEastAsia" w:hAnsi="Calibri Light"/>
      <w:color w:val="262626" w:themeColor="text1" w:themeTint="D9"/>
      <w:sz w:val="20"/>
      <w:szCs w:val="22"/>
      <w:lang w:val="en-US" w:bidi="en-US"/>
    </w:rPr>
  </w:style>
  <w:style w:type="paragraph" w:styleId="Kop1">
    <w:name w:val="heading 1"/>
    <w:basedOn w:val="Standaard"/>
    <w:next w:val="Standaard"/>
    <w:link w:val="Kop1Char"/>
    <w:uiPriority w:val="9"/>
    <w:qFormat/>
    <w:rsid w:val="00B5634F"/>
    <w:pPr>
      <w:keepNext/>
      <w:keepLines/>
      <w:spacing w:before="240"/>
      <w:outlineLvl w:val="0"/>
    </w:pPr>
    <w:rPr>
      <w:rFonts w:ascii="Calibri" w:eastAsiaTheme="majorEastAsia" w:hAnsi="Calibri" w:cstheme="majorBidi"/>
      <w:b/>
      <w:color w:val="E16629"/>
      <w:sz w:val="28"/>
      <w:szCs w:val="32"/>
    </w:rPr>
  </w:style>
  <w:style w:type="paragraph" w:styleId="Kop2">
    <w:name w:val="heading 2"/>
    <w:basedOn w:val="Standaard"/>
    <w:next w:val="Standaard"/>
    <w:link w:val="Kop2Char"/>
    <w:uiPriority w:val="9"/>
    <w:unhideWhenUsed/>
    <w:qFormat/>
    <w:rsid w:val="00B5634F"/>
    <w:pPr>
      <w:keepNext/>
      <w:keepLines/>
      <w:spacing w:before="40"/>
      <w:outlineLvl w:val="1"/>
    </w:pPr>
    <w:rPr>
      <w:rFonts w:ascii="Calibri" w:eastAsiaTheme="majorEastAsia" w:hAnsi="Calibri" w:cstheme="majorBidi"/>
      <w:b/>
      <w:color w:val="4A6DA7"/>
      <w:sz w:val="24"/>
      <w:szCs w:val="26"/>
    </w:rPr>
  </w:style>
  <w:style w:type="paragraph" w:styleId="Kop3">
    <w:name w:val="heading 3"/>
    <w:basedOn w:val="Standaard"/>
    <w:next w:val="Standaard"/>
    <w:link w:val="Kop3Char"/>
    <w:uiPriority w:val="9"/>
    <w:unhideWhenUsed/>
    <w:qFormat/>
    <w:rsid w:val="00B5634F"/>
    <w:pPr>
      <w:keepNext/>
      <w:keepLines/>
      <w:spacing w:before="200"/>
      <w:outlineLvl w:val="2"/>
    </w:pPr>
    <w:rPr>
      <w:rFonts w:ascii="Calibri" w:eastAsiaTheme="majorEastAsia" w:hAnsi="Calibri" w:cstheme="majorBidi"/>
      <w:b/>
      <w:bCs/>
      <w:color w:val="4A6DA7"/>
      <w:sz w:val="22"/>
    </w:rPr>
  </w:style>
  <w:style w:type="paragraph" w:styleId="Kop4">
    <w:name w:val="heading 4"/>
    <w:basedOn w:val="Standaard"/>
    <w:next w:val="Standaard"/>
    <w:link w:val="Kop4Char"/>
    <w:uiPriority w:val="9"/>
    <w:unhideWhenUsed/>
    <w:qFormat/>
    <w:rsid w:val="00B5634F"/>
    <w:pPr>
      <w:keepNext/>
      <w:keepLines/>
      <w:spacing w:before="40"/>
      <w:outlineLvl w:val="3"/>
    </w:pPr>
    <w:rPr>
      <w:rFonts w:ascii="Calibri" w:eastAsiaTheme="majorEastAsia" w:hAnsi="Calibri" w:cstheme="majorBidi"/>
      <w:iCs/>
      <w:color w:val="4A6DA7"/>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93FD7"/>
    <w:pPr>
      <w:tabs>
        <w:tab w:val="center" w:pos="4536"/>
        <w:tab w:val="right" w:pos="9072"/>
      </w:tabs>
    </w:pPr>
  </w:style>
  <w:style w:type="character" w:customStyle="1" w:styleId="KoptekstChar">
    <w:name w:val="Koptekst Char"/>
    <w:basedOn w:val="Standaardalinea-lettertype"/>
    <w:link w:val="Koptekst"/>
    <w:uiPriority w:val="99"/>
    <w:rsid w:val="00A93FD7"/>
  </w:style>
  <w:style w:type="paragraph" w:styleId="Voettekst">
    <w:name w:val="footer"/>
    <w:basedOn w:val="Standaard"/>
    <w:link w:val="VoettekstChar"/>
    <w:uiPriority w:val="99"/>
    <w:unhideWhenUsed/>
    <w:rsid w:val="00A93FD7"/>
    <w:pPr>
      <w:tabs>
        <w:tab w:val="center" w:pos="4536"/>
        <w:tab w:val="right" w:pos="9072"/>
      </w:tabs>
      <w:spacing w:line="360" w:lineRule="auto"/>
    </w:pPr>
    <w:rPr>
      <w:rFonts w:asciiTheme="minorHAnsi" w:eastAsiaTheme="minorHAnsi" w:hAnsiTheme="minorHAnsi"/>
      <w:color w:val="auto"/>
      <w:sz w:val="18"/>
      <w:szCs w:val="24"/>
      <w:lang w:val="nl-NL" w:bidi="ar-SA"/>
    </w:rPr>
  </w:style>
  <w:style w:type="character" w:customStyle="1" w:styleId="VoettekstChar">
    <w:name w:val="Voettekst Char"/>
    <w:basedOn w:val="Standaardalinea-lettertype"/>
    <w:link w:val="Voettekst"/>
    <w:uiPriority w:val="99"/>
    <w:rsid w:val="00A93FD7"/>
    <w:rPr>
      <w:sz w:val="18"/>
    </w:rPr>
  </w:style>
  <w:style w:type="character" w:customStyle="1" w:styleId="Kop3Char">
    <w:name w:val="Kop 3 Char"/>
    <w:basedOn w:val="Standaardalinea-lettertype"/>
    <w:link w:val="Kop3"/>
    <w:uiPriority w:val="9"/>
    <w:rsid w:val="00B5634F"/>
    <w:rPr>
      <w:rFonts w:ascii="Calibri" w:eastAsiaTheme="majorEastAsia" w:hAnsi="Calibri" w:cstheme="majorBidi"/>
      <w:b/>
      <w:bCs/>
      <w:color w:val="4A6DA7"/>
      <w:sz w:val="22"/>
      <w:szCs w:val="22"/>
      <w:lang w:val="en-US" w:bidi="en-US"/>
    </w:rPr>
  </w:style>
  <w:style w:type="character" w:customStyle="1" w:styleId="Kop1Char">
    <w:name w:val="Kop 1 Char"/>
    <w:basedOn w:val="Standaardalinea-lettertype"/>
    <w:link w:val="Kop1"/>
    <w:uiPriority w:val="9"/>
    <w:rsid w:val="00B5634F"/>
    <w:rPr>
      <w:rFonts w:ascii="Calibri" w:eastAsiaTheme="majorEastAsia" w:hAnsi="Calibri" w:cstheme="majorBidi"/>
      <w:b/>
      <w:color w:val="E16629"/>
      <w:sz w:val="28"/>
      <w:szCs w:val="32"/>
      <w:lang w:val="en-US" w:bidi="en-US"/>
    </w:rPr>
  </w:style>
  <w:style w:type="table" w:styleId="Tabelraster">
    <w:name w:val="Table Grid"/>
    <w:basedOn w:val="Standaardtabel"/>
    <w:uiPriority w:val="59"/>
    <w:rsid w:val="00A93FD7"/>
    <w:rPr>
      <w:rFonts w:eastAsiaTheme="minorEastAsia"/>
      <w:sz w:val="22"/>
      <w:szCs w:val="22"/>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ocumenttype">
    <w:name w:val="Documenttype"/>
    <w:basedOn w:val="Standaard"/>
    <w:autoRedefine/>
    <w:qFormat/>
    <w:rsid w:val="00F94BF9"/>
    <w:pPr>
      <w:spacing w:before="360" w:after="360" w:line="240" w:lineRule="auto"/>
    </w:pPr>
    <w:rPr>
      <w:rFonts w:cs="Calibri Light"/>
      <w:caps/>
      <w:color w:val="E36729"/>
      <w:spacing w:val="10"/>
      <w:sz w:val="36"/>
      <w:szCs w:val="36"/>
    </w:rPr>
  </w:style>
  <w:style w:type="character" w:styleId="Tekstvantijdelijkeaanduiding">
    <w:name w:val="Placeholder Text"/>
    <w:basedOn w:val="Standaardalinea-lettertype"/>
    <w:uiPriority w:val="99"/>
    <w:semiHidden/>
    <w:rsid w:val="00A93FD7"/>
    <w:rPr>
      <w:color w:val="808080"/>
    </w:rPr>
  </w:style>
  <w:style w:type="paragraph" w:customStyle="1" w:styleId="Documenteigenschappen">
    <w:name w:val="[Document eigenschappen]"/>
    <w:basedOn w:val="Standaard"/>
    <w:qFormat/>
    <w:rsid w:val="00EB6A56"/>
    <w:rPr>
      <w:rFonts w:ascii="Calibri" w:hAnsi="Calibri"/>
    </w:rPr>
  </w:style>
  <w:style w:type="character" w:customStyle="1" w:styleId="Kop2Char">
    <w:name w:val="Kop 2 Char"/>
    <w:basedOn w:val="Standaardalinea-lettertype"/>
    <w:link w:val="Kop2"/>
    <w:uiPriority w:val="9"/>
    <w:rsid w:val="00B5634F"/>
    <w:rPr>
      <w:rFonts w:ascii="Calibri" w:eastAsiaTheme="majorEastAsia" w:hAnsi="Calibri" w:cstheme="majorBidi"/>
      <w:b/>
      <w:color w:val="4A6DA7"/>
      <w:szCs w:val="26"/>
      <w:lang w:val="en-US" w:bidi="en-US"/>
    </w:rPr>
  </w:style>
  <w:style w:type="character" w:customStyle="1" w:styleId="Kop4Char">
    <w:name w:val="Kop 4 Char"/>
    <w:basedOn w:val="Standaardalinea-lettertype"/>
    <w:link w:val="Kop4"/>
    <w:uiPriority w:val="9"/>
    <w:rsid w:val="00B5634F"/>
    <w:rPr>
      <w:rFonts w:ascii="Calibri" w:eastAsiaTheme="majorEastAsia" w:hAnsi="Calibri" w:cstheme="majorBidi"/>
      <w:iCs/>
      <w:color w:val="4A6DA7"/>
      <w:sz w:val="22"/>
      <w:szCs w:val="22"/>
      <w:lang w:val="en-US" w:bidi="en-US"/>
    </w:rPr>
  </w:style>
  <w:style w:type="paragraph" w:styleId="Lijstalinea">
    <w:name w:val="List Paragraph"/>
    <w:qFormat/>
    <w:rsid w:val="00F739C1"/>
    <w:rPr>
      <w:rFonts w:ascii="Aptos" w:eastAsia="Aptos" w:hAnsi="Aptos" w:cs="Aptos"/>
      <w:sz w:val="21"/>
      <w:szCs w:val="21"/>
      <w:lang w:eastAsia="nl-NL"/>
    </w:rPr>
  </w:style>
  <w:style w:type="character" w:styleId="Verwijzingopmerking">
    <w:name w:val="annotation reference"/>
    <w:basedOn w:val="Standaardalinea-lettertype"/>
    <w:uiPriority w:val="99"/>
    <w:semiHidden/>
    <w:unhideWhenUsed/>
    <w:rsid w:val="00440FA3"/>
    <w:rPr>
      <w:sz w:val="16"/>
      <w:szCs w:val="16"/>
    </w:rPr>
  </w:style>
  <w:style w:type="paragraph" w:styleId="Revisie">
    <w:name w:val="Revision"/>
    <w:hidden/>
    <w:uiPriority w:val="99"/>
    <w:semiHidden/>
    <w:rsid w:val="00F36F69"/>
    <w:rPr>
      <w:rFonts w:ascii="Calibri Light" w:eastAsiaTheme="minorEastAsia" w:hAnsi="Calibri Light"/>
      <w:color w:val="262626" w:themeColor="text1" w:themeTint="D9"/>
      <w:sz w:val="20"/>
      <w:szCs w:val="22"/>
      <w:lang w:val="en-US" w:bidi="en-US"/>
    </w:rPr>
  </w:style>
  <w:style w:type="paragraph" w:styleId="Normaalweb">
    <w:name w:val="Normal (Web)"/>
    <w:basedOn w:val="Standaard"/>
    <w:uiPriority w:val="99"/>
    <w:semiHidden/>
    <w:unhideWhenUsed/>
    <w:rsid w:val="000125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31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fakton.sharepoint.com/sites/marketing/Sjablonen/Energy%20Notitie%20N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9CAAC45D004B069AB3BB53E68F7C4E"/>
        <w:category>
          <w:name w:val="Algemeen"/>
          <w:gallery w:val="placeholder"/>
        </w:category>
        <w:types>
          <w:type w:val="bbPlcHdr"/>
        </w:types>
        <w:behaviors>
          <w:behavior w:val="content"/>
        </w:behaviors>
        <w:guid w:val="{B49E3849-8273-4357-A5E0-54D5E92E1A3B}"/>
      </w:docPartPr>
      <w:docPartBody>
        <w:p w:rsidR="00F93627" w:rsidRDefault="00F93627">
          <w:pPr>
            <w:pStyle w:val="579CAAC45D004B069AB3BB53E68F7C4E"/>
          </w:pPr>
          <w:r w:rsidRPr="009B2578">
            <w:rPr>
              <w:rStyle w:val="Tekstvantijdelijkeaanduiding"/>
            </w:rPr>
            <w:t>[Document ID Value]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Hoofdtekst CS)">
    <w:altName w:val="Times New Roman"/>
    <w:charset w:val="00"/>
    <w:family w:val="roman"/>
    <w:pitch w:val="variable"/>
    <w:sig w:usb0="E0002AEF" w:usb1="C0007841"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27"/>
    <w:rsid w:val="0011188D"/>
    <w:rsid w:val="00136ECB"/>
    <w:rsid w:val="001909DD"/>
    <w:rsid w:val="001B3719"/>
    <w:rsid w:val="00222D6A"/>
    <w:rsid w:val="00433116"/>
    <w:rsid w:val="00460BEB"/>
    <w:rsid w:val="004E23A7"/>
    <w:rsid w:val="005E32B4"/>
    <w:rsid w:val="005F79CF"/>
    <w:rsid w:val="007C5A43"/>
    <w:rsid w:val="00916A9F"/>
    <w:rsid w:val="009A75D3"/>
    <w:rsid w:val="009B3921"/>
    <w:rsid w:val="00A134C9"/>
    <w:rsid w:val="00AD0D65"/>
    <w:rsid w:val="00B0068C"/>
    <w:rsid w:val="00B35EB5"/>
    <w:rsid w:val="00C7422F"/>
    <w:rsid w:val="00CD5DD6"/>
    <w:rsid w:val="00D22229"/>
    <w:rsid w:val="00D22555"/>
    <w:rsid w:val="00DD25D9"/>
    <w:rsid w:val="00E804FD"/>
    <w:rsid w:val="00E8637E"/>
    <w:rsid w:val="00F738B8"/>
    <w:rsid w:val="00F93627"/>
    <w:rsid w:val="00FC1589"/>
    <w:rsid w:val="00FE3D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22555"/>
    <w:rPr>
      <w:color w:val="808080"/>
    </w:rPr>
  </w:style>
  <w:style w:type="paragraph" w:customStyle="1" w:styleId="579CAAC45D004B069AB3BB53E68F7C4E">
    <w:name w:val="579CAAC45D004B069AB3BB53E68F7C4E"/>
  </w:style>
  <w:style w:type="paragraph" w:customStyle="1" w:styleId="2C712C20034A4092909630B3B844BFCB">
    <w:name w:val="2C712C20034A4092909630B3B844BFCB"/>
    <w:rsid w:val="00D225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nergy Brief NL" ma:contentTypeID="0x010100E25C329622FA6949B3671257743E23B84C0087148442E1CB39459BAD294A8E2946F1" ma:contentTypeVersion="2" ma:contentTypeDescription="" ma:contentTypeScope="" ma:versionID="2fa11c9d497223d54e1173cae3cfe59b">
  <xsd:schema xmlns:xsd="http://www.w3.org/2001/XMLSchema" xmlns:xs="http://www.w3.org/2001/XMLSchema" xmlns:p="http://schemas.microsoft.com/office/2006/metadata/properties" xmlns:ns1="http://schemas.microsoft.com/sharepoint/v3" xmlns:ns2="53d5952e-107a-4ee6-964e-9352f9e22cff" targetNamespace="http://schemas.microsoft.com/office/2006/metadata/properties" ma:root="true" ma:fieldsID="6e36386afbbd26e06c254cac74f2b6be" ns1:_="" ns2:_="">
    <xsd:import namespace="http://schemas.microsoft.com/sharepoint/v3"/>
    <xsd:import namespace="53d5952e-107a-4ee6-964e-9352f9e22cff"/>
    <xsd:element name="properties">
      <xsd:complexType>
        <xsd:sequence>
          <xsd:element name="documentManagement">
            <xsd:complexType>
              <xsd:all>
                <xsd:element ref="ns2:FPSA_DocDate" minOccurs="0"/>
                <xsd:element ref="ns2:psa_ProcessCode" minOccurs="0"/>
                <xsd:element ref="ns1:WorkAddress" minOccurs="0"/>
                <xsd:element ref="ns2:psa_Partner" minOccurs="0"/>
                <xsd:element ref="ns2:Opdrachtgever" minOccurs="0"/>
                <xsd:element ref="ns2:Kenmerk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orkAddress" ma:index="11" nillable="true" ma:displayName="Address" ma:internalName="WorkAddres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5952e-107a-4ee6-964e-9352f9e22cff" elementFormDefault="qualified">
    <xsd:import namespace="http://schemas.microsoft.com/office/2006/documentManagement/types"/>
    <xsd:import namespace="http://schemas.microsoft.com/office/infopath/2007/PartnerControls"/>
    <xsd:element name="FPSA_DocDate" ma:index="8" nillable="true" ma:displayName="Datum" ma:default="[today]" ma:format="DateOnly" ma:internalName="FPSA_DocDate">
      <xsd:simpleType>
        <xsd:restriction base="dms:DateTime"/>
      </xsd:simpleType>
    </xsd:element>
    <xsd:element name="psa_ProcessCode" ma:index="10" nillable="true" ma:displayName="Process Code" ma:indexed="true" ma:internalName="psa_ProcessCode">
      <xsd:simpleType>
        <xsd:restriction base="dms:Text"/>
      </xsd:simpleType>
    </xsd:element>
    <xsd:element name="psa_Partner" ma:index="12" nillable="true" ma:displayName="Partner" ma:SharePointGroup="17" ma:internalName="psa_Partner" ma:showField="PictureOnly_Size_48p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pdrachtgever" ma:index="13" nillable="true" ma:displayName="Opdrachtgever" ma:internalName="Opdrachtgever">
      <xsd:simpleType>
        <xsd:restriction base="dms:Text">
          <xsd:maxLength value="255"/>
        </xsd:restriction>
      </xsd:simpleType>
    </xsd:element>
    <xsd:element name="Kenmerk_x0020_document" ma:index="14" nillable="true" ma:displayName="Kenmerk document" ma:internalName="Kenmerk_x0020_docu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PSA_DocDate xmlns="53d5952e-107a-4ee6-964e-9352f9e22cff">2026-10-04T13:29:09Z</FPSA_DocDate>
    <Opdrachtgever xmlns="53d5952e-107a-4ee6-964e-9352f9e22cff" xsi:nil="true"/>
    <psa_ProcessCode xmlns="53d5952e-107a-4ee6-964e-9352f9e22cff" xsi:nil="true"/>
    <WorkAddress xmlns="http://schemas.microsoft.com/sharepoint/v3" xsi:nil="true"/>
    <psa_Partner xmlns="53d5952e-107a-4ee6-964e-9352f9e22cff">
      <UserInfo>
        <DisplayName/>
        <AccountId xsi:nil="true"/>
        <AccountType/>
      </UserInfo>
    </psa_Partner>
    <Kenmerk_x0020_document xmlns="53d5952e-107a-4ee6-964e-9352f9e22cff" xsi:nil="true"/>
  </documentManagement>
</p:properties>
</file>

<file path=customXml/item4.xml><?xml version="1.0" encoding="utf-8"?>
<?mso-contentType ?>
<SharedContentType xmlns="Microsoft.SharePoint.Taxonomy.ContentTypeSync" SourceId="5c5958a3-e7b7-42a1-b42f-c62aa9688ccb" ContentTypeId="0x010100E25C329622FA6949B3671257743E23B84C" PreviousValue="false" LastSyncTimeStamp="2020-06-10T07:19:47.077Z"/>
</file>

<file path=customXml/itemProps1.xml><?xml version="1.0" encoding="utf-8"?>
<ds:datastoreItem xmlns:ds="http://schemas.openxmlformats.org/officeDocument/2006/customXml" ds:itemID="{31BE3086-03C0-4C0C-902E-1B5D4D695E19}">
  <ds:schemaRefs>
    <ds:schemaRef ds:uri="http://schemas.microsoft.com/sharepoint/v3/contenttype/forms"/>
  </ds:schemaRefs>
</ds:datastoreItem>
</file>

<file path=customXml/itemProps2.xml><?xml version="1.0" encoding="utf-8"?>
<ds:datastoreItem xmlns:ds="http://schemas.openxmlformats.org/officeDocument/2006/customXml" ds:itemID="{099D811D-0D77-448C-84BE-4888F8150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d5952e-107a-4ee6-964e-9352f9e22c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649C85-6FDA-40C5-8A3F-95F3BCA7435F}">
  <ds:schemaRefs>
    <ds:schemaRef ds:uri="http://schemas.microsoft.com/office/2006/metadata/properties"/>
    <ds:schemaRef ds:uri="http://schemas.microsoft.com/office/infopath/2007/PartnerControls"/>
    <ds:schemaRef ds:uri="53d5952e-107a-4ee6-964e-9352f9e22cff"/>
    <ds:schemaRef ds:uri="http://schemas.microsoft.com/sharepoint/v3"/>
  </ds:schemaRefs>
</ds:datastoreItem>
</file>

<file path=customXml/itemProps4.xml><?xml version="1.0" encoding="utf-8"?>
<ds:datastoreItem xmlns:ds="http://schemas.openxmlformats.org/officeDocument/2006/customXml" ds:itemID="{645C64CD-1193-4466-A5DD-2553F7F61F2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Energy%20Notitie%20NL</Template>
  <TotalTime>0</TotalTime>
  <Pages>12</Pages>
  <Words>4439</Words>
  <Characters>24415</Characters>
  <Application>Microsoft Office Word</Application>
  <DocSecurity>0</DocSecurity>
  <Lines>203</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Borst</dc:creator>
  <cp:keywords/>
  <dc:description/>
  <cp:lastModifiedBy>Bram Borst</cp:lastModifiedBy>
  <cp:revision>2</cp:revision>
  <cp:lastPrinted>2026-10-04T11:29:00Z</cp:lastPrinted>
  <dcterms:created xsi:type="dcterms:W3CDTF">2026-11-02T11:40:00Z</dcterms:created>
  <dcterms:modified xsi:type="dcterms:W3CDTF">2026-11-02T11:40:00Z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024">
    <vt:lpwstr>25</vt:lpwstr>
  </property>
  <property fmtid="{D5CDD505-2E9C-101B-9397-08002B2CF9AE}" pid="3" name="AuthorIds_UIVersion_2048">
    <vt:lpwstr>25</vt:lpwstr>
  </property>
  <property fmtid="{D5CDD505-2E9C-101B-9397-08002B2CF9AE}" pid="4" name="_dlc_DocId">
    <vt:lpwstr>FKTN-1850682920-644</vt:lpwstr>
  </property>
  <property fmtid="{D5CDD505-2E9C-101B-9397-08002B2CF9AE}" pid="5" name="ContentTypeId">
    <vt:lpwstr>0x010100E25C329622FA6949B3671257743E23B84C0087148442E1CB39459BAD294A8E2946F1</vt:lpwstr>
  </property>
  <property fmtid="{D5CDD505-2E9C-101B-9397-08002B2CF9AE}" pid="6" name="_dlc_DocIdUrl">
    <vt:lpwstr>https://fakton.sharepoint.com/_layouts/15/DocIdRedir.aspx?ID=FKTN-1850682920-644, FKTN-1850682920-644</vt:lpwstr>
  </property>
  <property fmtid="{D5CDD505-2E9C-101B-9397-08002B2CF9AE}" pid="7" name="_dlc_DocIdItemGuid">
    <vt:lpwstr>e05204a9-51ee-411e-a809-978ea0d4d9de</vt:lpwstr>
  </property>
</Properties>
</file>